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440" w:firstLineChars="100"/>
        <w:jc w:val="center"/>
        <w:rPr>
          <w:rFonts w:hint="default" w:ascii="华文楷体" w:hAnsi="华文楷体" w:eastAsia="华文楷体"/>
          <w:sz w:val="44"/>
          <w:szCs w:val="44"/>
          <w:lang w:val="en-US" w:eastAsia="zh-CN"/>
        </w:rPr>
      </w:pPr>
      <w:r>
        <w:rPr>
          <w:rFonts w:hint="eastAsia" w:ascii="华文楷体" w:hAnsi="华文楷体" w:eastAsia="华文楷体"/>
          <w:sz w:val="44"/>
          <w:szCs w:val="44"/>
          <w:lang w:val="en-US" w:eastAsia="zh-CN"/>
        </w:rPr>
        <w:t>深圳市上源祥齿科商贸有限公司</w:t>
      </w:r>
    </w:p>
    <w:p>
      <w:pPr>
        <w:jc w:val="center"/>
        <w:rPr>
          <w:rFonts w:ascii="楷体_GB2312" w:eastAsia="楷体_GB2312"/>
          <w:b/>
          <w:color w:val="0070C0"/>
          <w:spacing w:val="-20"/>
          <w:sz w:val="36"/>
          <w:szCs w:val="36"/>
        </w:rPr>
      </w:pPr>
    </w:p>
    <w:p>
      <w:pPr>
        <w:jc w:val="center"/>
      </w:pPr>
    </w:p>
    <w:p>
      <w:pPr>
        <w:jc w:val="center"/>
      </w:pPr>
    </w:p>
    <w:p>
      <w:pPr>
        <w:jc w:val="center"/>
      </w:pPr>
    </w:p>
    <w:p>
      <w:pPr>
        <w:jc w:val="center"/>
      </w:pPr>
    </w:p>
    <w:p>
      <w:pPr>
        <w:jc w:val="center"/>
        <w:rPr>
          <w:rFonts w:ascii="楷体_GB2312" w:eastAsia="楷体_GB2312"/>
          <w:b/>
          <w:sz w:val="48"/>
          <w:szCs w:val="48"/>
        </w:rPr>
      </w:pPr>
    </w:p>
    <w:p>
      <w:pPr>
        <w:jc w:val="center"/>
        <w:rPr>
          <w:rFonts w:ascii="楷体_GB2312" w:eastAsia="楷体_GB2312"/>
          <w:b/>
          <w:bCs/>
          <w:sz w:val="48"/>
          <w:szCs w:val="48"/>
        </w:rPr>
      </w:pPr>
      <w:r>
        <w:rPr>
          <w:rFonts w:hint="eastAsia" w:ascii="楷体_GB2312" w:eastAsia="楷体_GB2312"/>
          <w:b/>
          <w:sz w:val="48"/>
          <w:szCs w:val="48"/>
        </w:rPr>
        <w:t>竞标邀请书</w:t>
      </w:r>
    </w:p>
    <w:p>
      <w:pPr>
        <w:ind w:firstLine="2520" w:firstLineChars="900"/>
        <w:rPr>
          <w:rFonts w:hint="default" w:ascii="楷体_GB2312" w:eastAsia="楷体_GB2312"/>
          <w:b/>
          <w:bCs/>
          <w:sz w:val="48"/>
          <w:szCs w:val="48"/>
          <w:lang w:val="en-US" w:eastAsia="zh-CN"/>
        </w:rPr>
      </w:pPr>
      <w:r>
        <w:rPr>
          <w:rFonts w:hint="eastAsia" w:ascii="楷体_GB2312" w:eastAsia="楷体_GB2312"/>
          <w:sz w:val="28"/>
          <w:szCs w:val="28"/>
        </w:rPr>
        <w:t>竞标编号:</w:t>
      </w:r>
      <w:r>
        <w:rPr>
          <w:rFonts w:ascii="楷体_GB2312" w:eastAsia="楷体_GB2312"/>
          <w:sz w:val="28"/>
          <w:szCs w:val="28"/>
        </w:rPr>
        <w:t xml:space="preserve"> </w:t>
      </w:r>
      <w:r>
        <w:rPr>
          <w:rFonts w:hint="eastAsia" w:ascii="楷体_GB2312" w:eastAsia="楷体_GB2312"/>
          <w:sz w:val="28"/>
          <w:szCs w:val="28"/>
          <w:lang w:val="en-US" w:eastAsia="zh-CN"/>
        </w:rPr>
        <w:t>SYX ZB2021-001</w:t>
      </w:r>
    </w:p>
    <w:p>
      <w:pPr>
        <w:jc w:val="center"/>
      </w:pPr>
    </w:p>
    <w:p>
      <w:pPr>
        <w:jc w:val="center"/>
      </w:pPr>
    </w:p>
    <w:p>
      <w:pPr>
        <w:jc w:val="center"/>
      </w:pPr>
    </w:p>
    <w:p>
      <w:pPr>
        <w:jc w:val="center"/>
      </w:pPr>
    </w:p>
    <w:p>
      <w:pPr>
        <w:jc w:val="center"/>
      </w:pPr>
    </w:p>
    <w:p/>
    <w:p/>
    <w:p/>
    <w:p>
      <w:pPr>
        <w:jc w:val="center"/>
        <w:rPr>
          <w:rFonts w:ascii="楷体_GB2312" w:eastAsia="楷体_GB2312"/>
          <w:sz w:val="32"/>
        </w:rPr>
      </w:pPr>
    </w:p>
    <w:p>
      <w:pPr>
        <w:jc w:val="center"/>
        <w:rPr>
          <w:rFonts w:ascii="楷体_GB2312" w:eastAsia="楷体_GB2312"/>
          <w:sz w:val="32"/>
        </w:rPr>
      </w:pPr>
      <w:r>
        <w:rPr>
          <w:rFonts w:hint="eastAsia" w:ascii="楷体_GB2312" w:eastAsia="楷体_GB2312"/>
          <w:sz w:val="32"/>
        </w:rPr>
        <w:t>编制单位：</w:t>
      </w:r>
      <w:r>
        <w:rPr>
          <w:rFonts w:hint="eastAsia" w:ascii="楷体_GB2312" w:eastAsia="楷体_GB2312"/>
          <w:sz w:val="32"/>
          <w:u w:val="single"/>
          <w:lang w:val="en-US" w:eastAsia="zh-CN"/>
        </w:rPr>
        <w:t>深圳市上源祥齿科商贸</w:t>
      </w:r>
      <w:r>
        <w:rPr>
          <w:rFonts w:hint="eastAsia" w:ascii="楷体_GB2312" w:eastAsia="楷体_GB2312"/>
          <w:sz w:val="32"/>
          <w:u w:val="single"/>
        </w:rPr>
        <w:t>有限</w:t>
      </w:r>
      <w:r>
        <w:rPr>
          <w:rFonts w:ascii="楷体_GB2312" w:eastAsia="楷体_GB2312"/>
          <w:sz w:val="32"/>
          <w:u w:val="single"/>
        </w:rPr>
        <w:t>公司</w:t>
      </w:r>
    </w:p>
    <w:p>
      <w:pPr>
        <w:ind w:firstLine="1280" w:firstLineChars="400"/>
        <w:rPr>
          <w:rFonts w:hint="eastAsia" w:ascii="楷体" w:hAnsi="楷体" w:eastAsia="楷体" w:cs="楷体"/>
          <w:sz w:val="32"/>
          <w:szCs w:val="32"/>
          <w:lang w:eastAsia="zh-CN"/>
        </w:rPr>
      </w:pPr>
      <w:r>
        <w:rPr>
          <w:rFonts w:hint="eastAsia" w:ascii="楷体" w:hAnsi="楷体" w:eastAsia="楷体" w:cs="楷体"/>
          <w:sz w:val="32"/>
          <w:szCs w:val="32"/>
        </w:rPr>
        <w:t>日    期：  2</w:t>
      </w:r>
      <w:r>
        <w:rPr>
          <w:rFonts w:hint="eastAsia" w:ascii="楷体" w:hAnsi="楷体" w:eastAsia="楷体" w:cs="楷体"/>
          <w:sz w:val="32"/>
          <w:szCs w:val="32"/>
          <w:lang w:val="en-US" w:eastAsia="zh-CN"/>
        </w:rPr>
        <w:t>021</w:t>
      </w:r>
      <w:r>
        <w:rPr>
          <w:rFonts w:hint="eastAsia" w:ascii="楷体" w:hAnsi="楷体" w:eastAsia="楷体" w:cs="楷体"/>
          <w:sz w:val="32"/>
          <w:szCs w:val="32"/>
        </w:rPr>
        <w:t xml:space="preserve">年 </w:t>
      </w:r>
      <w:r>
        <w:rPr>
          <w:rFonts w:hint="eastAsia" w:ascii="楷体" w:hAnsi="楷体" w:eastAsia="楷体" w:cs="楷体"/>
          <w:sz w:val="32"/>
          <w:szCs w:val="32"/>
          <w:lang w:val="en-US" w:eastAsia="zh-CN"/>
        </w:rPr>
        <w:t>04</w:t>
      </w:r>
      <w:r>
        <w:rPr>
          <w:rFonts w:hint="eastAsia" w:ascii="楷体" w:hAnsi="楷体" w:eastAsia="楷体" w:cs="楷体"/>
          <w:sz w:val="32"/>
          <w:szCs w:val="32"/>
        </w:rPr>
        <w:t>月</w:t>
      </w:r>
      <w:r>
        <w:rPr>
          <w:rFonts w:hint="eastAsia" w:ascii="楷体" w:hAnsi="楷体" w:eastAsia="楷体" w:cs="楷体"/>
          <w:sz w:val="32"/>
          <w:szCs w:val="32"/>
          <w:lang w:val="en-US" w:eastAsia="zh-CN"/>
        </w:rPr>
        <w:t>20</w:t>
      </w:r>
      <w:r>
        <w:rPr>
          <w:rFonts w:hint="eastAsia" w:ascii="楷体" w:hAnsi="楷体" w:eastAsia="楷体" w:cs="楷体"/>
          <w:sz w:val="32"/>
          <w:szCs w:val="32"/>
          <w:lang w:eastAsia="zh-CN"/>
        </w:rPr>
        <w:t>日</w:t>
      </w:r>
    </w:p>
    <w:p/>
    <w:p/>
    <w:p/>
    <w:p/>
    <w:p/>
    <w:p/>
    <w:p/>
    <w:p/>
    <w:p/>
    <w:p/>
    <w:p/>
    <w:p/>
    <w:p/>
    <w:p/>
    <w:p/>
    <w:p/>
    <w:p/>
    <w:p>
      <w:pPr>
        <w:jc w:val="left"/>
        <w:rPr>
          <w:rFonts w:ascii="楷体_GB2312" w:eastAsia="楷体_GB2312"/>
          <w:b/>
          <w:bCs/>
          <w:sz w:val="36"/>
          <w:szCs w:val="36"/>
        </w:rPr>
      </w:pPr>
      <w:r>
        <w:rPr>
          <w:rFonts w:hint="eastAsia" w:ascii="楷体_GB2312" w:eastAsia="楷体_GB2312"/>
          <w:b/>
          <w:sz w:val="28"/>
          <w:szCs w:val="28"/>
        </w:rPr>
        <w:t>一</w:t>
      </w:r>
      <w:r>
        <w:rPr>
          <w:rFonts w:ascii="楷体_GB2312" w:eastAsia="楷体_GB2312"/>
          <w:b/>
          <w:sz w:val="28"/>
          <w:szCs w:val="28"/>
        </w:rPr>
        <w:t>、</w:t>
      </w:r>
      <w:r>
        <w:rPr>
          <w:rFonts w:hint="eastAsia" w:ascii="楷体_GB2312" w:eastAsia="楷体_GB2312"/>
          <w:b/>
          <w:sz w:val="28"/>
          <w:szCs w:val="28"/>
        </w:rPr>
        <w:t>竞标公告</w:t>
      </w:r>
    </w:p>
    <w:p>
      <w:pPr>
        <w:spacing w:line="360" w:lineRule="auto"/>
        <w:rPr>
          <w:rFonts w:hint="eastAsia" w:ascii="楷体" w:hAnsi="楷体" w:eastAsia="楷体" w:cs="楷体"/>
          <w:sz w:val="24"/>
          <w:szCs w:val="24"/>
        </w:rPr>
      </w:pPr>
      <w:r>
        <w:rPr>
          <w:rFonts w:hint="eastAsia" w:ascii="楷体_GB2312" w:eastAsia="楷体_GB2312"/>
          <w:bCs/>
          <w:sz w:val="24"/>
        </w:rPr>
        <w:t>1.1邀请单位：</w:t>
      </w:r>
      <w:r>
        <w:rPr>
          <w:rFonts w:hint="eastAsia" w:ascii="楷体" w:hAnsi="楷体" w:eastAsia="楷体" w:cs="楷体"/>
          <w:sz w:val="24"/>
          <w:szCs w:val="24"/>
          <w:lang w:val="en-US" w:eastAsia="zh-CN"/>
        </w:rPr>
        <w:t>深圳市上源祥齿科商贸有限公司</w:t>
      </w:r>
      <w:r>
        <w:rPr>
          <w:rFonts w:hint="eastAsia" w:ascii="楷体" w:hAnsi="楷体" w:eastAsia="楷体" w:cs="楷体"/>
          <w:sz w:val="24"/>
          <w:szCs w:val="24"/>
        </w:rPr>
        <w:t xml:space="preserve"> </w:t>
      </w:r>
    </w:p>
    <w:p>
      <w:pPr>
        <w:spacing w:line="360" w:lineRule="auto"/>
        <w:ind w:firstLine="1620" w:firstLineChars="675"/>
        <w:rPr>
          <w:rFonts w:hint="eastAsia" w:ascii="楷体_GB2312" w:eastAsia="楷体_GB2312"/>
          <w:sz w:val="24"/>
          <w:lang w:val="en-US" w:eastAsia="zh-CN"/>
        </w:rPr>
      </w:pPr>
      <w:r>
        <w:rPr>
          <w:rFonts w:hint="eastAsia" w:ascii="楷体_GB2312" w:eastAsia="楷体_GB2312"/>
          <w:sz w:val="24"/>
        </w:rPr>
        <w:t>联系人：</w:t>
      </w:r>
      <w:r>
        <w:rPr>
          <w:rFonts w:hint="eastAsia" w:ascii="楷体_GB2312" w:eastAsia="楷体_GB2312"/>
          <w:sz w:val="24"/>
          <w:lang w:val="en-US" w:eastAsia="zh-CN"/>
        </w:rPr>
        <w:t>郭爱贞</w:t>
      </w:r>
    </w:p>
    <w:p>
      <w:pPr>
        <w:spacing w:line="360" w:lineRule="auto"/>
        <w:ind w:firstLine="1620" w:firstLineChars="675"/>
        <w:rPr>
          <w:rFonts w:hint="eastAsia" w:ascii="楷体_GB2312" w:eastAsia="楷体_GB2312"/>
          <w:sz w:val="24"/>
          <w:lang w:val="en-US" w:eastAsia="zh-CN"/>
        </w:rPr>
      </w:pPr>
      <w:r>
        <w:rPr>
          <w:rFonts w:hint="eastAsia" w:ascii="楷体_GB2312" w:eastAsia="楷体_GB2312"/>
          <w:sz w:val="24"/>
        </w:rPr>
        <w:t>联系电话：</w:t>
      </w:r>
      <w:r>
        <w:rPr>
          <w:rFonts w:hint="eastAsia" w:ascii="楷体_GB2312" w:eastAsia="楷体_GB2312"/>
          <w:sz w:val="24"/>
          <w:lang w:val="en-US" w:eastAsia="zh-CN"/>
        </w:rPr>
        <w:t>1314 8874 923</w:t>
      </w:r>
    </w:p>
    <w:p>
      <w:pPr>
        <w:spacing w:line="360" w:lineRule="auto"/>
        <w:ind w:firstLine="1620" w:firstLineChars="675"/>
        <w:rPr>
          <w:rFonts w:hint="default" w:ascii="楷体_GB2312" w:eastAsia="楷体_GB2312"/>
          <w:sz w:val="24"/>
          <w:lang w:val="en-US" w:eastAsia="zh-CN"/>
        </w:rPr>
      </w:pPr>
      <w:r>
        <w:rPr>
          <w:rFonts w:hint="eastAsia" w:ascii="楷体_GB2312" w:eastAsia="楷体_GB2312"/>
          <w:sz w:val="24"/>
        </w:rPr>
        <w:t>邮箱：</w:t>
      </w:r>
      <w:r>
        <w:rPr>
          <w:rFonts w:hint="eastAsia" w:ascii="楷体_GB2312" w:eastAsia="楷体_GB2312"/>
          <w:sz w:val="24"/>
          <w:lang w:val="en-US" w:eastAsia="zh-CN"/>
        </w:rPr>
        <w:t>827549105@qq.com</w:t>
      </w:r>
    </w:p>
    <w:p>
      <w:pPr>
        <w:spacing w:line="360" w:lineRule="auto"/>
        <w:rPr>
          <w:rFonts w:ascii="楷体_GB2312" w:eastAsia="楷体_GB2312"/>
          <w:sz w:val="24"/>
        </w:rPr>
      </w:pPr>
      <w:r>
        <w:rPr>
          <w:rFonts w:hint="eastAsia" w:ascii="楷体_GB2312" w:eastAsia="楷体_GB2312"/>
          <w:bCs/>
          <w:sz w:val="24"/>
        </w:rPr>
        <w:t>1.2竞标内容</w:t>
      </w:r>
      <w:r>
        <w:rPr>
          <w:rFonts w:hint="eastAsia" w:ascii="楷体_GB2312" w:eastAsia="楷体_GB2312"/>
          <w:bCs/>
          <w:sz w:val="24"/>
          <w:lang w:eastAsia="zh-CN"/>
        </w:rPr>
        <w:t>：</w:t>
      </w:r>
      <w:r>
        <w:rPr>
          <w:rFonts w:hint="eastAsia" w:ascii="楷体_GB2312" w:eastAsia="楷体_GB2312"/>
          <w:bCs/>
          <w:sz w:val="24"/>
          <w:lang w:val="en-US" w:eastAsia="zh-CN"/>
        </w:rPr>
        <w:t>齿科原材料、设备</w:t>
      </w:r>
      <w:r>
        <w:rPr>
          <w:rFonts w:hint="eastAsia" w:ascii="楷体_GB2312" w:eastAsia="楷体_GB2312"/>
          <w:sz w:val="24"/>
          <w:szCs w:val="24"/>
          <w:lang w:val="en-US" w:eastAsia="zh-CN"/>
        </w:rPr>
        <w:t xml:space="preserve">   </w:t>
      </w:r>
    </w:p>
    <w:p>
      <w:pPr>
        <w:rPr>
          <w:rFonts w:ascii="楷体_GB2312" w:eastAsia="楷体_GB2312"/>
          <w:bCs/>
          <w:sz w:val="24"/>
        </w:rPr>
      </w:pPr>
      <w:r>
        <w:rPr>
          <w:rFonts w:hint="eastAsia" w:ascii="楷体_GB2312" w:eastAsia="楷体_GB2312"/>
          <w:bCs/>
          <w:sz w:val="24"/>
        </w:rPr>
        <w:t>1.2.1</w:t>
      </w:r>
      <w:r>
        <w:rPr>
          <w:rFonts w:hint="eastAsia" w:ascii="楷体_GB2312" w:eastAsia="楷体_GB2312"/>
          <w:bCs/>
          <w:sz w:val="24"/>
          <w:lang w:val="en-US" w:eastAsia="zh-CN"/>
        </w:rPr>
        <w:t>义齿材料及设备</w:t>
      </w:r>
      <w:r>
        <w:rPr>
          <w:rFonts w:hint="eastAsia" w:ascii="楷体_GB2312" w:eastAsia="楷体_GB2312"/>
          <w:bCs/>
          <w:sz w:val="24"/>
        </w:rPr>
        <w:t>功能需求列表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38"/>
        <w:gridCol w:w="57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38" w:type="dxa"/>
          </w:tcPr>
          <w:p>
            <w:pPr>
              <w:rPr>
                <w:rFonts w:hint="eastAsia"/>
              </w:rPr>
            </w:pPr>
            <w:r>
              <w:rPr>
                <w:rFonts w:hint="eastAsia"/>
              </w:rPr>
              <w:t>用途</w:t>
            </w:r>
          </w:p>
        </w:tc>
        <w:tc>
          <w:tcPr>
            <w:tcW w:w="5758" w:type="dxa"/>
          </w:tcPr>
          <w:p>
            <w:pPr>
              <w:rPr>
                <w:rFonts w:hint="eastAsia"/>
              </w:rPr>
            </w:pPr>
            <w:r>
              <w:rPr>
                <w:rFonts w:hint="eastAsia"/>
              </w:rPr>
              <w:t>用于</w:t>
            </w:r>
            <w:r>
              <w:rPr>
                <w:rFonts w:hint="eastAsia"/>
                <w:lang w:val="en-US" w:eastAsia="zh-CN"/>
              </w:rPr>
              <w:t>技工中心：材料和设备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38" w:type="dxa"/>
          </w:tcPr>
          <w:p>
            <w:pPr>
              <w:rPr>
                <w:rFonts w:hint="eastAsia"/>
              </w:rPr>
            </w:pPr>
            <w:r>
              <w:rPr>
                <w:rFonts w:hint="eastAsia"/>
              </w:rPr>
              <w:t>技术要求</w:t>
            </w:r>
          </w:p>
        </w:tc>
        <w:tc>
          <w:tcPr>
            <w:tcW w:w="5758" w:type="dxa"/>
          </w:tcPr>
          <w:p>
            <w:pPr>
              <w:rPr>
                <w:rFonts w:hint="default" w:eastAsiaTheme="minorEastAsia"/>
                <w:lang w:val="en-US" w:eastAsia="zh-CN"/>
              </w:rPr>
            </w:pPr>
            <w:r>
              <w:rPr>
                <w:rFonts w:hint="eastAsia"/>
                <w:lang w:val="en-US" w:eastAsia="zh-CN"/>
              </w:rPr>
              <w:t>提供技术操作说明书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38" w:type="dxa"/>
          </w:tcPr>
          <w:p>
            <w:pPr>
              <w:rPr>
                <w:rFonts w:hint="eastAsia"/>
              </w:rPr>
            </w:pPr>
            <w:r>
              <w:rPr>
                <w:rFonts w:hint="eastAsia"/>
              </w:rPr>
              <w:t>质量标准</w:t>
            </w:r>
          </w:p>
        </w:tc>
        <w:tc>
          <w:tcPr>
            <w:tcW w:w="5758" w:type="dxa"/>
          </w:tcPr>
          <w:p>
            <w:pPr>
              <w:rPr>
                <w:rFonts w:hint="default" w:eastAsiaTheme="minorEastAsia"/>
                <w:lang w:val="en-US" w:eastAsia="zh-CN"/>
              </w:rPr>
            </w:pPr>
            <w:r>
              <w:rPr>
                <w:rFonts w:hint="eastAsia"/>
                <w:lang w:val="en-US" w:eastAsia="zh-CN"/>
              </w:rPr>
              <w:t>符合医疗器械法规要求、技术要求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38" w:type="dxa"/>
          </w:tcPr>
          <w:p>
            <w:pPr>
              <w:rPr>
                <w:rFonts w:hint="eastAsia"/>
              </w:rPr>
            </w:pPr>
            <w:r>
              <w:rPr>
                <w:rFonts w:hint="eastAsia"/>
              </w:rPr>
              <w:t>售后</w:t>
            </w:r>
          </w:p>
        </w:tc>
        <w:tc>
          <w:tcPr>
            <w:tcW w:w="5758" w:type="dxa"/>
          </w:tcPr>
          <w:p>
            <w:r>
              <w:rPr>
                <w:rFonts w:hint="eastAsia"/>
              </w:rPr>
              <w:t>厂家</w:t>
            </w:r>
            <w:r>
              <w:rPr>
                <w:rFonts w:hint="eastAsia"/>
                <w:lang w:val="en-US" w:eastAsia="zh-CN"/>
              </w:rPr>
              <w:t>及销售商</w:t>
            </w:r>
            <w:r>
              <w:rPr>
                <w:rFonts w:hint="eastAsia"/>
              </w:rPr>
              <w:t>售后</w:t>
            </w:r>
          </w:p>
        </w:tc>
      </w:tr>
    </w:tbl>
    <w:p>
      <w:pPr>
        <w:rPr>
          <w:rFonts w:ascii="楷体_GB2312" w:eastAsia="楷体_GB2312"/>
          <w:bCs/>
          <w:sz w:val="24"/>
        </w:rPr>
      </w:pPr>
    </w:p>
    <w:p>
      <w:pPr>
        <w:spacing w:line="360" w:lineRule="auto"/>
        <w:rPr>
          <w:rFonts w:ascii="楷体_GB2312" w:eastAsia="楷体_GB2312"/>
          <w:sz w:val="24"/>
        </w:rPr>
      </w:pPr>
      <w:r>
        <w:rPr>
          <w:rFonts w:hint="eastAsia" w:ascii="楷体_GB2312" w:eastAsia="楷体_GB2312"/>
          <w:color w:val="000000"/>
          <w:sz w:val="24"/>
        </w:rPr>
        <w:t>1.2.</w:t>
      </w:r>
      <w:r>
        <w:rPr>
          <w:rFonts w:ascii="楷体_GB2312" w:eastAsia="楷体_GB2312"/>
          <w:color w:val="000000"/>
          <w:sz w:val="24"/>
        </w:rPr>
        <w:t>2</w:t>
      </w:r>
      <w:r>
        <w:rPr>
          <w:rFonts w:hint="eastAsia" w:ascii="楷体_GB2312" w:eastAsia="楷体_GB2312"/>
          <w:color w:val="000000"/>
          <w:sz w:val="24"/>
        </w:rPr>
        <w:t>.以上</w:t>
      </w:r>
      <w:r>
        <w:rPr>
          <w:rFonts w:ascii="楷体_GB2312" w:eastAsia="楷体_GB2312"/>
          <w:sz w:val="24"/>
        </w:rPr>
        <w:t>产品的</w:t>
      </w:r>
      <w:r>
        <w:rPr>
          <w:rFonts w:hint="eastAsia" w:ascii="楷体_GB2312" w:eastAsia="楷体_GB2312"/>
          <w:sz w:val="24"/>
          <w:lang w:val="en-US" w:eastAsia="zh-CN"/>
        </w:rPr>
        <w:t>售后</w:t>
      </w:r>
      <w:r>
        <w:rPr>
          <w:rFonts w:ascii="楷体_GB2312" w:eastAsia="楷体_GB2312"/>
          <w:sz w:val="24"/>
        </w:rPr>
        <w:t>服务内容，请在</w:t>
      </w:r>
      <w:r>
        <w:rPr>
          <w:rFonts w:hint="eastAsia" w:ascii="楷体_GB2312" w:eastAsia="楷体_GB2312"/>
          <w:sz w:val="24"/>
        </w:rPr>
        <w:t>报价一览表</w:t>
      </w:r>
      <w:r>
        <w:rPr>
          <w:rFonts w:ascii="楷体_GB2312" w:eastAsia="楷体_GB2312"/>
          <w:sz w:val="24"/>
        </w:rPr>
        <w:t>中体现</w:t>
      </w:r>
      <w:r>
        <w:rPr>
          <w:rFonts w:hint="eastAsia" w:ascii="楷体_GB2312" w:eastAsia="楷体_GB2312"/>
          <w:sz w:val="24"/>
        </w:rPr>
        <w:t>，对竞标方</w:t>
      </w:r>
      <w:r>
        <w:rPr>
          <w:rFonts w:ascii="楷体_GB2312" w:eastAsia="楷体_GB2312"/>
          <w:sz w:val="24"/>
        </w:rPr>
        <w:t>信息安全保密</w:t>
      </w:r>
      <w:r>
        <w:rPr>
          <w:rFonts w:hint="eastAsia" w:ascii="楷体_GB2312" w:eastAsia="楷体_GB2312"/>
          <w:sz w:val="24"/>
        </w:rPr>
        <w:t>的承诺及处理方式</w:t>
      </w:r>
      <w:r>
        <w:rPr>
          <w:rFonts w:ascii="楷体_GB2312" w:eastAsia="楷体_GB2312"/>
          <w:sz w:val="24"/>
        </w:rPr>
        <w:t>。</w:t>
      </w:r>
    </w:p>
    <w:p>
      <w:pPr>
        <w:spacing w:line="360" w:lineRule="auto"/>
        <w:rPr>
          <w:rFonts w:ascii="楷体_GB2312" w:eastAsia="楷体_GB2312"/>
          <w:bCs/>
          <w:sz w:val="24"/>
        </w:rPr>
      </w:pPr>
      <w:r>
        <w:rPr>
          <w:rFonts w:hint="eastAsia" w:ascii="楷体_GB2312" w:eastAsia="楷体_GB2312"/>
          <w:bCs/>
          <w:sz w:val="24"/>
        </w:rPr>
        <w:t>1.3竞标时间安排：</w:t>
      </w:r>
    </w:p>
    <w:p>
      <w:pPr>
        <w:spacing w:line="360" w:lineRule="auto"/>
        <w:ind w:firstLine="480" w:firstLineChars="200"/>
        <w:rPr>
          <w:rFonts w:ascii="楷体_GB2312" w:eastAsia="楷体_GB2312"/>
          <w:b/>
          <w:sz w:val="24"/>
        </w:rPr>
      </w:pPr>
      <w:r>
        <w:rPr>
          <w:rFonts w:hint="eastAsia" w:ascii="楷体_GB2312" w:eastAsia="楷体_GB2312"/>
          <w:sz w:val="24"/>
        </w:rPr>
        <w:t xml:space="preserve">  </w:t>
      </w:r>
      <w:r>
        <w:rPr>
          <w:rFonts w:hint="eastAsia" w:ascii="楷体_GB2312" w:eastAsia="楷体_GB2312"/>
          <w:b/>
          <w:sz w:val="24"/>
        </w:rPr>
        <w:t>开标时间：</w:t>
      </w:r>
      <w:r>
        <w:rPr>
          <w:rFonts w:ascii="楷体_GB2312" w:eastAsia="楷体_GB2312"/>
          <w:b/>
          <w:sz w:val="24"/>
          <w:highlight w:val="yellow"/>
        </w:rPr>
        <w:t xml:space="preserve"> </w:t>
      </w:r>
      <w:r>
        <w:rPr>
          <w:rFonts w:hint="eastAsia" w:ascii="楷体_GB2312" w:eastAsia="楷体_GB2312"/>
          <w:b/>
          <w:sz w:val="24"/>
          <w:highlight w:val="yellow"/>
          <w:lang w:val="en-US" w:eastAsia="zh-CN"/>
        </w:rPr>
        <w:t>2021</w:t>
      </w:r>
      <w:r>
        <w:rPr>
          <w:rFonts w:hint="eastAsia" w:ascii="楷体_GB2312" w:eastAsia="楷体_GB2312"/>
          <w:b/>
          <w:sz w:val="24"/>
          <w:highlight w:val="yellow"/>
        </w:rPr>
        <w:t>年</w:t>
      </w:r>
      <w:r>
        <w:rPr>
          <w:rFonts w:hint="eastAsia" w:ascii="楷体_GB2312" w:eastAsia="楷体_GB2312"/>
          <w:b/>
          <w:sz w:val="24"/>
          <w:highlight w:val="yellow"/>
          <w:lang w:val="en-US" w:eastAsia="zh-CN"/>
        </w:rPr>
        <w:t>05</w:t>
      </w:r>
      <w:r>
        <w:rPr>
          <w:rFonts w:hint="eastAsia" w:ascii="楷体_GB2312" w:eastAsia="楷体_GB2312"/>
          <w:b/>
          <w:sz w:val="24"/>
          <w:highlight w:val="yellow"/>
        </w:rPr>
        <w:t>月</w:t>
      </w:r>
      <w:r>
        <w:rPr>
          <w:rFonts w:hint="eastAsia" w:ascii="楷体_GB2312" w:eastAsia="楷体_GB2312"/>
          <w:b/>
          <w:sz w:val="24"/>
          <w:highlight w:val="yellow"/>
          <w:lang w:val="en-US" w:eastAsia="zh-CN"/>
        </w:rPr>
        <w:t xml:space="preserve"> 14-15 </w:t>
      </w:r>
      <w:r>
        <w:rPr>
          <w:rFonts w:hint="eastAsia" w:ascii="楷体_GB2312" w:eastAsia="楷体_GB2312"/>
          <w:b/>
          <w:sz w:val="24"/>
          <w:highlight w:val="yellow"/>
        </w:rPr>
        <w:t>日</w:t>
      </w:r>
      <w:r>
        <w:rPr>
          <w:rFonts w:ascii="楷体_GB2312" w:eastAsia="楷体_GB2312"/>
          <w:b/>
          <w:sz w:val="24"/>
        </w:rPr>
        <w:t xml:space="preserve">                      </w:t>
      </w:r>
    </w:p>
    <w:p>
      <w:pPr>
        <w:spacing w:line="360" w:lineRule="auto"/>
        <w:ind w:firstLine="723" w:firstLineChars="300"/>
        <w:rPr>
          <w:rFonts w:hint="eastAsia" w:ascii="楷体" w:hAnsi="楷体" w:eastAsia="楷体" w:cs="楷体"/>
          <w:b/>
          <w:color w:val="0070C0"/>
          <w:sz w:val="21"/>
          <w:szCs w:val="21"/>
        </w:rPr>
      </w:pPr>
      <w:r>
        <w:rPr>
          <w:rFonts w:hint="eastAsia" w:ascii="楷体_GB2312" w:eastAsia="楷体_GB2312"/>
          <w:b/>
          <w:sz w:val="24"/>
        </w:rPr>
        <w:t>开标地点：</w:t>
      </w:r>
      <w:r>
        <w:rPr>
          <w:rFonts w:hint="eastAsia" w:ascii="楷体" w:hAnsi="楷体" w:eastAsia="楷体" w:cs="楷体"/>
          <w:b/>
          <w:color w:val="0070C0"/>
          <w:sz w:val="21"/>
          <w:szCs w:val="21"/>
        </w:rPr>
        <w:t xml:space="preserve"> </w:t>
      </w:r>
      <w:r>
        <w:rPr>
          <w:rFonts w:hint="eastAsia" w:ascii="楷体" w:hAnsi="楷体" w:eastAsia="楷体" w:cs="楷体"/>
          <w:sz w:val="21"/>
          <w:szCs w:val="21"/>
          <w:lang w:val="en-US" w:eastAsia="zh-CN"/>
        </w:rPr>
        <w:t>广东省广州市增城新塘镇太平洋五路10号广州市帕菲克义齿科技有限公司</w:t>
      </w:r>
    </w:p>
    <w:p>
      <w:pPr>
        <w:spacing w:line="360" w:lineRule="auto"/>
        <w:rPr>
          <w:rFonts w:hint="eastAsia" w:ascii="楷体" w:hAnsi="楷体" w:eastAsia="楷体" w:cs="楷体"/>
          <w:sz w:val="24"/>
          <w:szCs w:val="24"/>
        </w:rPr>
      </w:pPr>
      <w:r>
        <w:rPr>
          <w:rFonts w:hint="eastAsia" w:ascii="楷体" w:hAnsi="楷体" w:eastAsia="楷体" w:cs="楷体"/>
          <w:bCs/>
          <w:sz w:val="24"/>
          <w:szCs w:val="24"/>
        </w:rPr>
        <w:t>1.4对竞标方的资格要求</w:t>
      </w:r>
      <w:r>
        <w:rPr>
          <w:rFonts w:hint="eastAsia" w:ascii="楷体" w:hAnsi="楷体" w:eastAsia="楷体" w:cs="楷体"/>
          <w:sz w:val="24"/>
          <w:szCs w:val="24"/>
        </w:rPr>
        <w:t>：</w:t>
      </w:r>
    </w:p>
    <w:tbl>
      <w:tblPr>
        <w:tblStyle w:val="9"/>
        <w:tblW w:w="9371" w:type="dxa"/>
        <w:tblInd w:w="93" w:type="dxa"/>
        <w:tblLayout w:type="autofit"/>
        <w:tblCellMar>
          <w:top w:w="0" w:type="dxa"/>
          <w:left w:w="108" w:type="dxa"/>
          <w:bottom w:w="0" w:type="dxa"/>
          <w:right w:w="108" w:type="dxa"/>
        </w:tblCellMar>
      </w:tblPr>
      <w:tblGrid>
        <w:gridCol w:w="9371"/>
      </w:tblGrid>
      <w:tr>
        <w:tblPrEx>
          <w:tblCellMar>
            <w:top w:w="0" w:type="dxa"/>
            <w:left w:w="108" w:type="dxa"/>
            <w:bottom w:w="0" w:type="dxa"/>
            <w:right w:w="108" w:type="dxa"/>
          </w:tblCellMar>
        </w:tblPrEx>
        <w:trPr>
          <w:trHeight w:val="720" w:hRule="atLeast"/>
        </w:trPr>
        <w:tc>
          <w:tcPr>
            <w:tcW w:w="9371" w:type="dxa"/>
            <w:tcBorders>
              <w:top w:val="nil"/>
              <w:left w:val="nil"/>
              <w:bottom w:val="nil"/>
              <w:right w:val="nil"/>
            </w:tcBorders>
            <w:shd w:val="clear" w:color="auto" w:fill="auto"/>
            <w:noWrap/>
            <w:vAlign w:val="center"/>
          </w:tcPr>
          <w:p>
            <w:pPr>
              <w:widowControl/>
              <w:rPr>
                <w:rFonts w:ascii="楷体_GB2312" w:hAnsi="宋体" w:eastAsia="楷体_GB2312" w:cs="宋体"/>
                <w:kern w:val="0"/>
                <w:sz w:val="24"/>
              </w:rPr>
            </w:pPr>
            <w:r>
              <w:rPr>
                <w:rFonts w:hint="eastAsia" w:ascii="楷体_GB2312" w:hAnsi="宋体" w:eastAsia="楷体_GB2312" w:cs="宋体"/>
                <w:kern w:val="0"/>
                <w:sz w:val="24"/>
              </w:rPr>
              <w:t>1.4.1竞标人为中国境内注册合法注册的独立法人，具有从事本项目的经营范围和能力；</w:t>
            </w:r>
          </w:p>
        </w:tc>
      </w:tr>
      <w:tr>
        <w:tblPrEx>
          <w:tblCellMar>
            <w:top w:w="0" w:type="dxa"/>
            <w:left w:w="108" w:type="dxa"/>
            <w:bottom w:w="0" w:type="dxa"/>
            <w:right w:w="108" w:type="dxa"/>
          </w:tblCellMar>
        </w:tblPrEx>
        <w:trPr>
          <w:trHeight w:val="499" w:hRule="atLeast"/>
        </w:trPr>
        <w:tc>
          <w:tcPr>
            <w:tcW w:w="9371" w:type="dxa"/>
            <w:tcBorders>
              <w:top w:val="nil"/>
              <w:left w:val="nil"/>
              <w:bottom w:val="nil"/>
              <w:right w:val="nil"/>
            </w:tcBorders>
            <w:shd w:val="clear" w:color="000000" w:fill="FFFFFF"/>
          </w:tcPr>
          <w:p>
            <w:pPr>
              <w:widowControl/>
              <w:jc w:val="left"/>
              <w:rPr>
                <w:rFonts w:ascii="楷体_GB2312" w:hAnsi="宋体" w:eastAsia="楷体_GB2312" w:cs="宋体"/>
                <w:kern w:val="0"/>
                <w:sz w:val="24"/>
              </w:rPr>
            </w:pPr>
            <w:r>
              <w:rPr>
                <w:rFonts w:hint="eastAsia" w:ascii="楷体_GB2312" w:hAnsi="宋体" w:eastAsia="楷体_GB2312" w:cs="宋体"/>
                <w:kern w:val="0"/>
                <w:sz w:val="24"/>
              </w:rPr>
              <w:t>1.4.2 竞标人所具有的国、地税税务登记证完整，登记信息与营业执照一致；</w:t>
            </w:r>
          </w:p>
        </w:tc>
      </w:tr>
      <w:tr>
        <w:tblPrEx>
          <w:tblCellMar>
            <w:top w:w="0" w:type="dxa"/>
            <w:left w:w="108" w:type="dxa"/>
            <w:bottom w:w="0" w:type="dxa"/>
            <w:right w:w="108" w:type="dxa"/>
          </w:tblCellMar>
        </w:tblPrEx>
        <w:trPr>
          <w:trHeight w:val="499" w:hRule="atLeast"/>
        </w:trPr>
        <w:tc>
          <w:tcPr>
            <w:tcW w:w="9371" w:type="dxa"/>
            <w:tcBorders>
              <w:top w:val="nil"/>
              <w:left w:val="nil"/>
              <w:bottom w:val="nil"/>
              <w:right w:val="nil"/>
            </w:tcBorders>
            <w:shd w:val="clear" w:color="000000" w:fill="FFFFFF"/>
          </w:tcPr>
          <w:p>
            <w:pPr>
              <w:widowControl/>
              <w:jc w:val="left"/>
              <w:rPr>
                <w:rFonts w:ascii="楷体_GB2312" w:hAnsi="宋体" w:eastAsia="楷体_GB2312" w:cs="宋体"/>
                <w:kern w:val="0"/>
                <w:sz w:val="24"/>
              </w:rPr>
            </w:pPr>
            <w:r>
              <w:rPr>
                <w:rFonts w:hint="eastAsia" w:ascii="楷体_GB2312" w:hAnsi="宋体" w:eastAsia="楷体_GB2312" w:cs="宋体"/>
                <w:kern w:val="0"/>
                <w:sz w:val="24"/>
              </w:rPr>
              <w:t>1.4.3竞标人的组织机构代码证完整，登记信息与营业执照一致；</w:t>
            </w:r>
          </w:p>
        </w:tc>
      </w:tr>
      <w:tr>
        <w:tblPrEx>
          <w:tblCellMar>
            <w:top w:w="0" w:type="dxa"/>
            <w:left w:w="108" w:type="dxa"/>
            <w:bottom w:w="0" w:type="dxa"/>
            <w:right w:w="108" w:type="dxa"/>
          </w:tblCellMar>
        </w:tblPrEx>
        <w:trPr>
          <w:trHeight w:val="499" w:hRule="atLeast"/>
        </w:trPr>
        <w:tc>
          <w:tcPr>
            <w:tcW w:w="9371" w:type="dxa"/>
            <w:tcBorders>
              <w:top w:val="nil"/>
              <w:left w:val="nil"/>
              <w:bottom w:val="nil"/>
              <w:right w:val="nil"/>
            </w:tcBorders>
            <w:shd w:val="clear" w:color="000000" w:fill="FFFFFF"/>
          </w:tcPr>
          <w:p>
            <w:pPr>
              <w:widowControl/>
              <w:jc w:val="left"/>
              <w:rPr>
                <w:rFonts w:ascii="楷体_GB2312" w:hAnsi="宋体" w:eastAsia="楷体_GB2312" w:cs="宋体"/>
                <w:kern w:val="0"/>
                <w:sz w:val="24"/>
              </w:rPr>
            </w:pPr>
            <w:r>
              <w:rPr>
                <w:rFonts w:hint="eastAsia" w:ascii="楷体_GB2312" w:hAnsi="宋体" w:eastAsia="楷体_GB2312" w:cs="宋体"/>
                <w:kern w:val="0"/>
                <w:sz w:val="24"/>
              </w:rPr>
              <w:t>1.4.4竞标人是一般纳税人；</w:t>
            </w:r>
          </w:p>
        </w:tc>
      </w:tr>
      <w:tr>
        <w:tblPrEx>
          <w:tblCellMar>
            <w:top w:w="0" w:type="dxa"/>
            <w:left w:w="108" w:type="dxa"/>
            <w:bottom w:w="0" w:type="dxa"/>
            <w:right w:w="108" w:type="dxa"/>
          </w:tblCellMar>
        </w:tblPrEx>
        <w:trPr>
          <w:trHeight w:val="499" w:hRule="atLeast"/>
        </w:trPr>
        <w:tc>
          <w:tcPr>
            <w:tcW w:w="9371" w:type="dxa"/>
            <w:tcBorders>
              <w:top w:val="nil"/>
              <w:left w:val="nil"/>
              <w:bottom w:val="nil"/>
              <w:right w:val="nil"/>
            </w:tcBorders>
            <w:shd w:val="clear" w:color="000000" w:fill="FFFFFF"/>
          </w:tcPr>
          <w:p>
            <w:pPr>
              <w:widowControl/>
              <w:jc w:val="left"/>
              <w:rPr>
                <w:rFonts w:ascii="楷体_GB2312" w:hAnsi="宋体" w:eastAsia="楷体_GB2312" w:cs="宋体"/>
                <w:kern w:val="0"/>
                <w:sz w:val="24"/>
              </w:rPr>
            </w:pPr>
            <w:r>
              <w:rPr>
                <w:rFonts w:hint="eastAsia" w:ascii="楷体_GB2312" w:hAnsi="宋体" w:eastAsia="楷体_GB2312" w:cs="宋体"/>
                <w:kern w:val="0"/>
                <w:sz w:val="24"/>
              </w:rPr>
              <w:t>1.4.5竞标人提供详细的公司介绍；</w:t>
            </w:r>
          </w:p>
        </w:tc>
      </w:tr>
      <w:tr>
        <w:tblPrEx>
          <w:tblCellMar>
            <w:top w:w="0" w:type="dxa"/>
            <w:left w:w="108" w:type="dxa"/>
            <w:bottom w:w="0" w:type="dxa"/>
            <w:right w:w="108" w:type="dxa"/>
          </w:tblCellMar>
        </w:tblPrEx>
        <w:trPr>
          <w:trHeight w:val="499" w:hRule="atLeast"/>
        </w:trPr>
        <w:tc>
          <w:tcPr>
            <w:tcW w:w="9371" w:type="dxa"/>
            <w:tcBorders>
              <w:top w:val="nil"/>
              <w:left w:val="nil"/>
              <w:bottom w:val="nil"/>
              <w:right w:val="nil"/>
            </w:tcBorders>
            <w:shd w:val="clear" w:color="000000" w:fill="FFFFFF"/>
          </w:tcPr>
          <w:p>
            <w:pPr>
              <w:widowControl/>
              <w:spacing w:after="156" w:afterLines="50"/>
              <w:jc w:val="left"/>
              <w:rPr>
                <w:rFonts w:ascii="楷体_GB2312" w:hAnsi="宋体" w:eastAsia="楷体_GB2312" w:cs="宋体"/>
                <w:kern w:val="0"/>
                <w:sz w:val="24"/>
              </w:rPr>
            </w:pPr>
            <w:r>
              <w:rPr>
                <w:rFonts w:hint="eastAsia" w:ascii="楷体_GB2312" w:hAnsi="宋体" w:eastAsia="楷体_GB2312" w:cs="宋体"/>
                <w:kern w:val="0"/>
                <w:sz w:val="24"/>
              </w:rPr>
              <w:t>1.4.6竞标人如采用本企业产品，需要提供医疗器械生产许可证；如采用第三方产品需要提供原厂商的合法有效授权证明及本企业的医疗器械经营许可证。同时提供医疗器械注册证、注册登记表。</w:t>
            </w:r>
          </w:p>
        </w:tc>
      </w:tr>
    </w:tbl>
    <w:p>
      <w:pPr>
        <w:ind w:firstLine="1560" w:firstLineChars="1200"/>
        <w:rPr>
          <w:sz w:val="13"/>
        </w:rPr>
      </w:pPr>
    </w:p>
    <w:tbl>
      <w:tblPr>
        <w:tblStyle w:val="9"/>
        <w:tblW w:w="9371" w:type="dxa"/>
        <w:tblInd w:w="93" w:type="dxa"/>
        <w:tblLayout w:type="autofit"/>
        <w:tblCellMar>
          <w:top w:w="0" w:type="dxa"/>
          <w:left w:w="108" w:type="dxa"/>
          <w:bottom w:w="0" w:type="dxa"/>
          <w:right w:w="108" w:type="dxa"/>
        </w:tblCellMar>
      </w:tblPr>
      <w:tblGrid>
        <w:gridCol w:w="9371"/>
      </w:tblGrid>
      <w:tr>
        <w:tblPrEx>
          <w:tblCellMar>
            <w:top w:w="0" w:type="dxa"/>
            <w:left w:w="108" w:type="dxa"/>
            <w:bottom w:w="0" w:type="dxa"/>
            <w:right w:w="108" w:type="dxa"/>
          </w:tblCellMar>
        </w:tblPrEx>
        <w:trPr>
          <w:trHeight w:val="499" w:hRule="atLeast"/>
        </w:trPr>
        <w:tc>
          <w:tcPr>
            <w:tcW w:w="9371" w:type="dxa"/>
            <w:tcBorders>
              <w:top w:val="nil"/>
              <w:left w:val="nil"/>
              <w:bottom w:val="nil"/>
              <w:right w:val="nil"/>
            </w:tcBorders>
            <w:shd w:val="clear" w:color="000000" w:fill="FFFFFF"/>
          </w:tcPr>
          <w:p>
            <w:pPr>
              <w:widowControl/>
              <w:jc w:val="left"/>
              <w:rPr>
                <w:rFonts w:ascii="楷体_GB2312" w:hAnsi="宋体" w:eastAsia="楷体_GB2312" w:cs="宋体"/>
                <w:kern w:val="0"/>
                <w:sz w:val="24"/>
              </w:rPr>
            </w:pPr>
            <w:r>
              <w:rPr>
                <w:rFonts w:hint="eastAsia" w:ascii="楷体_GB2312" w:hAnsi="宋体" w:eastAsia="楷体_GB2312" w:cs="宋体"/>
                <w:kern w:val="0"/>
                <w:sz w:val="24"/>
              </w:rPr>
              <w:t>1.4.7竞标人银行信誉良好，提供完整准确的银行账户信息；</w:t>
            </w:r>
          </w:p>
        </w:tc>
      </w:tr>
      <w:tr>
        <w:tblPrEx>
          <w:tblCellMar>
            <w:top w:w="0" w:type="dxa"/>
            <w:left w:w="108" w:type="dxa"/>
            <w:bottom w:w="0" w:type="dxa"/>
            <w:right w:w="108" w:type="dxa"/>
          </w:tblCellMar>
        </w:tblPrEx>
        <w:trPr>
          <w:trHeight w:val="499" w:hRule="atLeast"/>
        </w:trPr>
        <w:tc>
          <w:tcPr>
            <w:tcW w:w="9371" w:type="dxa"/>
            <w:tcBorders>
              <w:top w:val="nil"/>
              <w:left w:val="nil"/>
              <w:bottom w:val="nil"/>
              <w:right w:val="nil"/>
            </w:tcBorders>
            <w:shd w:val="clear" w:color="000000" w:fill="FFFFFF"/>
          </w:tcPr>
          <w:p>
            <w:pPr>
              <w:widowControl/>
              <w:jc w:val="left"/>
              <w:rPr>
                <w:rFonts w:ascii="楷体_GB2312" w:hAnsi="宋体" w:eastAsia="楷体_GB2312" w:cs="宋体"/>
                <w:kern w:val="0"/>
                <w:sz w:val="24"/>
              </w:rPr>
            </w:pPr>
            <w:r>
              <w:rPr>
                <w:rFonts w:hint="eastAsia" w:ascii="楷体_GB2312" w:hAnsi="宋体" w:eastAsia="楷体_GB2312" w:cs="宋体"/>
                <w:kern w:val="0"/>
                <w:sz w:val="24"/>
              </w:rPr>
              <w:t>1.4.8业务负责人必须有法人代表授权，要求授权书原件；</w:t>
            </w:r>
          </w:p>
        </w:tc>
      </w:tr>
    </w:tbl>
    <w:p>
      <w:pPr>
        <w:widowControl/>
        <w:jc w:val="left"/>
        <w:rPr>
          <w:rFonts w:hint="eastAsia" w:ascii="楷体_GB2312" w:hAnsi="宋体" w:eastAsia="楷体_GB2312" w:cs="宋体"/>
          <w:kern w:val="0"/>
          <w:sz w:val="24"/>
        </w:rPr>
        <w:sectPr>
          <w:headerReference r:id="rId3" w:type="default"/>
          <w:footerReference r:id="rId4" w:type="default"/>
          <w:footerReference r:id="rId5" w:type="even"/>
          <w:pgSz w:w="11906" w:h="16838"/>
          <w:pgMar w:top="1440" w:right="1800" w:bottom="1440" w:left="1800" w:header="851" w:footer="992" w:gutter="0"/>
          <w:pgNumType w:fmt="numberInDash"/>
          <w:cols w:space="425" w:num="1"/>
          <w:docGrid w:type="lines" w:linePitch="312" w:charSpace="0"/>
        </w:sectPr>
      </w:pPr>
    </w:p>
    <w:tbl>
      <w:tblPr>
        <w:tblStyle w:val="9"/>
        <w:tblW w:w="9371" w:type="dxa"/>
        <w:tblInd w:w="93" w:type="dxa"/>
        <w:tblLayout w:type="autofit"/>
        <w:tblCellMar>
          <w:top w:w="0" w:type="dxa"/>
          <w:left w:w="108" w:type="dxa"/>
          <w:bottom w:w="0" w:type="dxa"/>
          <w:right w:w="108" w:type="dxa"/>
        </w:tblCellMar>
      </w:tblPr>
      <w:tblGrid>
        <w:gridCol w:w="9371"/>
      </w:tblGrid>
      <w:tr>
        <w:tblPrEx>
          <w:tblCellMar>
            <w:top w:w="0" w:type="dxa"/>
            <w:left w:w="108" w:type="dxa"/>
            <w:bottom w:w="0" w:type="dxa"/>
            <w:right w:w="108" w:type="dxa"/>
          </w:tblCellMar>
        </w:tblPrEx>
        <w:trPr>
          <w:trHeight w:val="499" w:hRule="atLeast"/>
        </w:trPr>
        <w:tc>
          <w:tcPr>
            <w:tcW w:w="9371" w:type="dxa"/>
            <w:tcBorders>
              <w:top w:val="nil"/>
              <w:left w:val="nil"/>
              <w:bottom w:val="nil"/>
              <w:right w:val="nil"/>
            </w:tcBorders>
            <w:shd w:val="clear" w:color="000000" w:fill="FFFFFF"/>
          </w:tcPr>
          <w:p>
            <w:pPr>
              <w:widowControl/>
              <w:jc w:val="left"/>
              <w:rPr>
                <w:rFonts w:ascii="楷体_GB2312" w:hAnsi="宋体" w:eastAsia="楷体_GB2312" w:cs="宋体"/>
                <w:kern w:val="0"/>
                <w:sz w:val="24"/>
              </w:rPr>
            </w:pPr>
            <w:r>
              <w:rPr>
                <w:rFonts w:hint="eastAsia" w:ascii="楷体_GB2312" w:hAnsi="宋体" w:eastAsia="楷体_GB2312" w:cs="宋体"/>
                <w:kern w:val="0"/>
                <w:sz w:val="24"/>
              </w:rPr>
              <w:t>1.4.9通过ISO9000认证的优选；</w:t>
            </w:r>
          </w:p>
          <w:p>
            <w:pPr>
              <w:widowControl/>
              <w:jc w:val="left"/>
              <w:rPr>
                <w:rFonts w:ascii="楷体_GB2312" w:hAnsi="宋体" w:eastAsia="楷体_GB2312" w:cs="宋体"/>
                <w:kern w:val="0"/>
                <w:sz w:val="24"/>
              </w:rPr>
            </w:pPr>
          </w:p>
          <w:p>
            <w:pPr>
              <w:widowControl/>
              <w:jc w:val="left"/>
              <w:rPr>
                <w:rFonts w:ascii="楷体_GB2312" w:hAnsi="宋体" w:eastAsia="楷体_GB2312" w:cs="宋体"/>
                <w:kern w:val="0"/>
                <w:sz w:val="24"/>
              </w:rPr>
            </w:pPr>
          </w:p>
        </w:tc>
      </w:tr>
    </w:tbl>
    <w:p>
      <w:pPr>
        <w:numPr>
          <w:ilvl w:val="0"/>
          <w:numId w:val="1"/>
        </w:numPr>
        <w:spacing w:line="480" w:lineRule="exact"/>
        <w:jc w:val="center"/>
        <w:rPr>
          <w:rFonts w:ascii="楷体_GB2312" w:eastAsia="楷体_GB2312"/>
          <w:b/>
          <w:sz w:val="28"/>
          <w:szCs w:val="28"/>
        </w:rPr>
      </w:pPr>
      <w:r>
        <w:rPr>
          <w:rFonts w:hint="eastAsia" w:ascii="楷体_GB2312" w:eastAsia="楷体_GB2312"/>
          <w:b/>
          <w:sz w:val="28"/>
          <w:szCs w:val="28"/>
        </w:rPr>
        <w:t>竞标文件</w:t>
      </w:r>
    </w:p>
    <w:p>
      <w:pPr>
        <w:spacing w:line="480" w:lineRule="exact"/>
        <w:rPr>
          <w:rFonts w:ascii="楷体_GB2312" w:eastAsia="楷体_GB2312"/>
          <w:sz w:val="24"/>
        </w:rPr>
      </w:pPr>
    </w:p>
    <w:p>
      <w:pPr>
        <w:spacing w:line="480" w:lineRule="exact"/>
        <w:rPr>
          <w:rFonts w:ascii="楷体_GB2312" w:eastAsia="楷体_GB2312"/>
          <w:sz w:val="24"/>
        </w:rPr>
      </w:pPr>
      <w:r>
        <w:rPr>
          <w:rFonts w:hint="eastAsia" w:ascii="楷体_GB2312" w:eastAsia="楷体_GB2312"/>
          <w:sz w:val="24"/>
        </w:rPr>
        <w:t>2.1本竞标文件包括下列文件及所有按本章第3条和第4条发出答疑事项及补充资料。</w:t>
      </w:r>
    </w:p>
    <w:p>
      <w:pPr>
        <w:spacing w:line="480" w:lineRule="exact"/>
        <w:rPr>
          <w:rFonts w:ascii="楷体_GB2312" w:eastAsia="楷体_GB2312"/>
          <w:sz w:val="24"/>
        </w:rPr>
      </w:pPr>
      <w:r>
        <w:rPr>
          <w:rFonts w:hint="eastAsia" w:ascii="楷体_GB2312" w:eastAsia="楷体_GB2312"/>
          <w:sz w:val="24"/>
        </w:rPr>
        <w:t>竞标文件包括下列内容：</w:t>
      </w:r>
    </w:p>
    <w:p>
      <w:pPr>
        <w:spacing w:line="480" w:lineRule="exact"/>
        <w:rPr>
          <w:rFonts w:ascii="楷体_GB2312" w:eastAsia="楷体_GB2312"/>
          <w:sz w:val="24"/>
        </w:rPr>
      </w:pPr>
      <w:r>
        <w:rPr>
          <w:rFonts w:hint="eastAsia" w:ascii="楷体_GB2312" w:eastAsia="楷体_GB2312"/>
          <w:sz w:val="24"/>
        </w:rPr>
        <w:t xml:space="preserve">    第一章    竞标公告</w:t>
      </w:r>
    </w:p>
    <w:p>
      <w:pPr>
        <w:spacing w:line="480" w:lineRule="exact"/>
        <w:rPr>
          <w:rFonts w:ascii="楷体_GB2312" w:eastAsia="楷体_GB2312"/>
          <w:sz w:val="24"/>
        </w:rPr>
      </w:pPr>
      <w:r>
        <w:rPr>
          <w:rFonts w:hint="eastAsia" w:ascii="楷体_GB2312" w:eastAsia="楷体_GB2312"/>
          <w:sz w:val="24"/>
        </w:rPr>
        <w:t xml:space="preserve">    第二章    竞标文件</w:t>
      </w:r>
    </w:p>
    <w:p>
      <w:pPr>
        <w:spacing w:line="480" w:lineRule="exact"/>
        <w:rPr>
          <w:rFonts w:hint="default" w:ascii="楷体_GB2312" w:eastAsia="楷体_GB2312"/>
          <w:sz w:val="24"/>
          <w:lang w:val="en-US" w:eastAsia="zh-CN"/>
        </w:rPr>
      </w:pPr>
      <w:r>
        <w:rPr>
          <w:rFonts w:hint="eastAsia" w:ascii="楷体_GB2312" w:eastAsia="楷体_GB2312"/>
          <w:sz w:val="24"/>
        </w:rPr>
        <w:t xml:space="preserve">    第三章    竞标报价</w:t>
      </w:r>
      <w:r>
        <w:rPr>
          <w:rFonts w:hint="eastAsia" w:ascii="楷体_GB2312" w:eastAsia="楷体_GB2312"/>
          <w:sz w:val="24"/>
          <w:lang w:val="en-US" w:eastAsia="zh-CN"/>
        </w:rPr>
        <w:t>及产品售后服务</w:t>
      </w:r>
    </w:p>
    <w:p>
      <w:pPr>
        <w:spacing w:line="480" w:lineRule="exact"/>
        <w:rPr>
          <w:rFonts w:ascii="楷体_GB2312" w:eastAsia="楷体_GB2312"/>
          <w:sz w:val="24"/>
        </w:rPr>
      </w:pPr>
      <w:r>
        <w:rPr>
          <w:rFonts w:hint="eastAsia" w:ascii="楷体_GB2312" w:eastAsia="楷体_GB2312"/>
          <w:sz w:val="24"/>
        </w:rPr>
        <w:t xml:space="preserve">    第四章    竞标文件的编制</w:t>
      </w:r>
    </w:p>
    <w:p>
      <w:pPr>
        <w:spacing w:line="480" w:lineRule="exact"/>
        <w:rPr>
          <w:rFonts w:ascii="楷体_GB2312" w:eastAsia="楷体_GB2312"/>
          <w:sz w:val="24"/>
        </w:rPr>
      </w:pPr>
      <w:r>
        <w:rPr>
          <w:rFonts w:hint="eastAsia" w:ascii="楷体_GB2312" w:eastAsia="楷体_GB2312"/>
          <w:sz w:val="24"/>
        </w:rPr>
        <w:t xml:space="preserve">    第五章    竞标文件的递交</w:t>
      </w:r>
    </w:p>
    <w:p>
      <w:pPr>
        <w:spacing w:line="480" w:lineRule="exact"/>
        <w:rPr>
          <w:rFonts w:ascii="楷体_GB2312" w:eastAsia="楷体_GB2312"/>
          <w:sz w:val="24"/>
        </w:rPr>
      </w:pPr>
      <w:r>
        <w:rPr>
          <w:rFonts w:hint="eastAsia" w:ascii="楷体_GB2312" w:eastAsia="楷体_GB2312"/>
          <w:sz w:val="24"/>
        </w:rPr>
        <w:t xml:space="preserve">    第六章    开标与评标</w:t>
      </w:r>
    </w:p>
    <w:p>
      <w:pPr>
        <w:spacing w:line="480" w:lineRule="exact"/>
        <w:rPr>
          <w:rFonts w:ascii="楷体_GB2312" w:eastAsia="楷体_GB2312"/>
          <w:sz w:val="24"/>
        </w:rPr>
      </w:pPr>
      <w:r>
        <w:rPr>
          <w:rFonts w:hint="eastAsia" w:ascii="楷体_GB2312" w:eastAsia="楷体_GB2312"/>
          <w:sz w:val="24"/>
        </w:rPr>
        <w:t xml:space="preserve">    第七章    合同授予</w:t>
      </w:r>
    </w:p>
    <w:p>
      <w:pPr>
        <w:spacing w:line="480" w:lineRule="exact"/>
        <w:rPr>
          <w:rFonts w:ascii="楷体_GB2312" w:eastAsia="楷体_GB2312"/>
          <w:b/>
          <w:bCs/>
          <w:sz w:val="28"/>
        </w:rPr>
      </w:pPr>
      <w:r>
        <w:rPr>
          <w:rFonts w:hint="eastAsia" w:ascii="楷体_GB2312" w:eastAsia="楷体_GB2312"/>
          <w:sz w:val="24"/>
        </w:rPr>
        <w:t xml:space="preserve">    第八章    设备清册</w:t>
      </w:r>
      <w:r>
        <w:rPr>
          <w:rFonts w:hint="eastAsia" w:ascii="楷体_GB2312" w:eastAsia="楷体_GB2312"/>
          <w:bCs/>
          <w:sz w:val="24"/>
        </w:rPr>
        <w:t>、技术要求</w:t>
      </w:r>
    </w:p>
    <w:p>
      <w:pPr>
        <w:spacing w:line="480" w:lineRule="exact"/>
        <w:rPr>
          <w:rFonts w:ascii="楷体_GB2312" w:eastAsia="楷体_GB2312"/>
          <w:sz w:val="24"/>
        </w:rPr>
      </w:pPr>
      <w:r>
        <w:rPr>
          <w:rFonts w:hint="eastAsia" w:ascii="楷体_GB2312" w:eastAsia="楷体_GB2312"/>
          <w:sz w:val="24"/>
        </w:rPr>
        <w:t xml:space="preserve">2.2竞标单位应认真审阅竞标文件所有文字条款，格式。如果竞标单位编制的竞标文件，实质上不符合邀请单位发出的竞标文件要求，其竞标文件将被邀请单位拒绝。 </w:t>
      </w:r>
    </w:p>
    <w:p>
      <w:pPr>
        <w:spacing w:line="480" w:lineRule="exact"/>
        <w:rPr>
          <w:rFonts w:ascii="楷体_GB2312" w:eastAsia="楷体_GB2312"/>
          <w:sz w:val="24"/>
        </w:rPr>
      </w:pPr>
      <w:r>
        <w:rPr>
          <w:rFonts w:hint="eastAsia" w:ascii="楷体_GB2312" w:eastAsia="楷体_GB2312"/>
          <w:sz w:val="24"/>
        </w:rPr>
        <w:t>2.3竞标文件的解释</w:t>
      </w:r>
    </w:p>
    <w:p>
      <w:pPr>
        <w:spacing w:line="480" w:lineRule="exact"/>
        <w:ind w:left="1" w:hanging="1"/>
        <w:jc w:val="both"/>
        <w:rPr>
          <w:rFonts w:ascii="楷体_GB2312" w:eastAsia="楷体_GB2312"/>
          <w:sz w:val="24"/>
        </w:rPr>
      </w:pPr>
      <w:r>
        <w:rPr>
          <w:rFonts w:hint="eastAsia" w:ascii="楷体_GB2312" w:eastAsia="楷体_GB2312"/>
          <w:sz w:val="24"/>
        </w:rPr>
        <w:t>2.3.1竞标单位若对竞标文件中的某些章节有疑问或有需要确认的事项，应详细列出并提前以书面（传真或电子邮件）形式于</w:t>
      </w:r>
      <w:r>
        <w:rPr>
          <w:rFonts w:ascii="楷体_GB2312" w:eastAsia="楷体_GB2312"/>
          <w:b/>
          <w:sz w:val="24"/>
          <w:highlight w:val="yellow"/>
          <w:u w:val="single"/>
        </w:rPr>
        <w:t xml:space="preserve"> 20</w:t>
      </w:r>
      <w:r>
        <w:rPr>
          <w:rFonts w:hint="eastAsia" w:ascii="楷体_GB2312" w:eastAsia="楷体_GB2312"/>
          <w:b/>
          <w:sz w:val="24"/>
          <w:highlight w:val="yellow"/>
          <w:u w:val="single"/>
          <w:lang w:val="en-US" w:eastAsia="zh-CN"/>
        </w:rPr>
        <w:t>21</w:t>
      </w:r>
      <w:r>
        <w:rPr>
          <w:rFonts w:hint="eastAsia" w:ascii="楷体_GB2312" w:eastAsia="楷体_GB2312"/>
          <w:b/>
          <w:sz w:val="24"/>
          <w:highlight w:val="yellow"/>
          <w:u w:val="single"/>
        </w:rPr>
        <w:t>年</w:t>
      </w:r>
      <w:r>
        <w:rPr>
          <w:rFonts w:hint="eastAsia" w:ascii="楷体_GB2312" w:eastAsia="楷体_GB2312"/>
          <w:b/>
          <w:sz w:val="24"/>
          <w:highlight w:val="yellow"/>
          <w:u w:val="single"/>
          <w:lang w:val="en-US" w:eastAsia="zh-CN"/>
        </w:rPr>
        <w:t>04</w:t>
      </w:r>
      <w:r>
        <w:rPr>
          <w:rFonts w:hint="eastAsia" w:ascii="楷体_GB2312" w:eastAsia="楷体_GB2312"/>
          <w:b/>
          <w:sz w:val="24"/>
          <w:highlight w:val="yellow"/>
          <w:u w:val="single"/>
        </w:rPr>
        <w:t>月</w:t>
      </w:r>
      <w:r>
        <w:rPr>
          <w:rFonts w:hint="eastAsia" w:ascii="楷体_GB2312" w:eastAsia="楷体_GB2312"/>
          <w:b/>
          <w:sz w:val="24"/>
          <w:highlight w:val="yellow"/>
          <w:u w:val="single"/>
          <w:lang w:val="en-US" w:eastAsia="zh-CN"/>
        </w:rPr>
        <w:t>28</w:t>
      </w:r>
      <w:r>
        <w:rPr>
          <w:rFonts w:hint="eastAsia" w:ascii="楷体_GB2312" w:eastAsia="楷体_GB2312"/>
          <w:b/>
          <w:sz w:val="24"/>
          <w:highlight w:val="yellow"/>
          <w:u w:val="single"/>
        </w:rPr>
        <w:t xml:space="preserve"> 日</w:t>
      </w:r>
      <w:r>
        <w:rPr>
          <w:rFonts w:ascii="楷体_GB2312" w:eastAsia="楷体_GB2312"/>
          <w:b/>
          <w:sz w:val="24"/>
          <w:highlight w:val="none"/>
          <w:u w:val="single"/>
        </w:rPr>
        <w:t xml:space="preserve"> </w:t>
      </w:r>
      <w:r>
        <w:rPr>
          <w:rFonts w:ascii="楷体_GB2312" w:eastAsia="楷体_GB2312"/>
          <w:b/>
          <w:sz w:val="24"/>
          <w:u w:val="single"/>
        </w:rPr>
        <w:t xml:space="preserve">                    </w:t>
      </w:r>
      <w:r>
        <w:rPr>
          <w:rFonts w:hint="eastAsia" w:ascii="楷体_GB2312" w:eastAsia="楷体_GB2312"/>
          <w:sz w:val="24"/>
        </w:rPr>
        <w:t>前发至邀请单位，邀请单位统一解答，并以邮件或传真作为唯一有效的答疑资料，其它任何人的口头，电话答疑均属无效。</w:t>
      </w:r>
    </w:p>
    <w:p>
      <w:pPr>
        <w:spacing w:line="480" w:lineRule="exact"/>
        <w:rPr>
          <w:rFonts w:ascii="楷体_GB2312" w:eastAsia="楷体_GB2312"/>
          <w:sz w:val="24"/>
        </w:rPr>
      </w:pPr>
      <w:r>
        <w:rPr>
          <w:rFonts w:hint="eastAsia" w:ascii="楷体_GB2312" w:eastAsia="楷体_GB2312"/>
          <w:sz w:val="24"/>
        </w:rPr>
        <w:t>2.4竞标文件的修改</w:t>
      </w:r>
    </w:p>
    <w:p>
      <w:pPr>
        <w:spacing w:line="480" w:lineRule="exact"/>
        <w:rPr>
          <w:rFonts w:ascii="楷体_GB2312" w:eastAsia="楷体_GB2312"/>
          <w:sz w:val="24"/>
        </w:rPr>
      </w:pPr>
      <w:r>
        <w:rPr>
          <w:rFonts w:hint="eastAsia" w:ascii="楷体_GB2312" w:eastAsia="楷体_GB2312"/>
          <w:sz w:val="24"/>
        </w:rPr>
        <w:t>2.4.1在竞标截止日期前，邀请单位随时可能以补充通知的方式修改竞标文件。</w:t>
      </w:r>
    </w:p>
    <w:p>
      <w:pPr>
        <w:spacing w:line="480" w:lineRule="exact"/>
        <w:ind w:left="2"/>
        <w:rPr>
          <w:rFonts w:ascii="楷体_GB2312" w:eastAsia="楷体_GB2312"/>
          <w:sz w:val="24"/>
        </w:rPr>
      </w:pPr>
      <w:r>
        <w:rPr>
          <w:rFonts w:hint="eastAsia" w:ascii="楷体_GB2312" w:eastAsia="楷体_GB2312"/>
          <w:sz w:val="24"/>
        </w:rPr>
        <w:t>2.4.2补充通知要以书面形式发给所有获得竞标文件的竞标单位，补充通知作为竞标文件的组成部分，对竞标单位起约束作用。</w:t>
      </w:r>
    </w:p>
    <w:p>
      <w:pPr>
        <w:spacing w:line="480" w:lineRule="exact"/>
        <w:rPr>
          <w:rFonts w:ascii="楷体_GB2312" w:eastAsia="楷体_GB2312"/>
          <w:sz w:val="24"/>
        </w:rPr>
      </w:pPr>
    </w:p>
    <w:p>
      <w:pPr>
        <w:spacing w:line="480" w:lineRule="exact"/>
        <w:rPr>
          <w:rFonts w:ascii="楷体_GB2312" w:eastAsia="楷体_GB2312"/>
          <w:sz w:val="24"/>
        </w:rPr>
      </w:pPr>
    </w:p>
    <w:p>
      <w:pPr>
        <w:numPr>
          <w:ilvl w:val="0"/>
          <w:numId w:val="1"/>
        </w:numPr>
        <w:spacing w:line="480" w:lineRule="exact"/>
        <w:jc w:val="center"/>
        <w:rPr>
          <w:rFonts w:ascii="楷体_GB2312" w:eastAsia="楷体_GB2312"/>
          <w:b/>
          <w:sz w:val="28"/>
          <w:szCs w:val="28"/>
        </w:rPr>
      </w:pPr>
      <w:r>
        <w:rPr>
          <w:rFonts w:hint="eastAsia" w:ascii="楷体_GB2312" w:eastAsia="楷体_GB2312"/>
          <w:b/>
          <w:sz w:val="28"/>
          <w:szCs w:val="28"/>
        </w:rPr>
        <w:t>竞标报价说明</w:t>
      </w:r>
    </w:p>
    <w:p>
      <w:pPr>
        <w:spacing w:line="480" w:lineRule="exact"/>
        <w:jc w:val="center"/>
        <w:rPr>
          <w:rFonts w:ascii="楷体_GB2312" w:eastAsia="楷体_GB2312"/>
          <w:b/>
          <w:bCs/>
          <w:sz w:val="24"/>
        </w:rPr>
      </w:pPr>
    </w:p>
    <w:p>
      <w:pPr>
        <w:spacing w:line="480" w:lineRule="exact"/>
        <w:rPr>
          <w:rFonts w:ascii="楷体_GB2312" w:eastAsia="楷体_GB2312"/>
          <w:sz w:val="24"/>
        </w:rPr>
      </w:pPr>
      <w:r>
        <w:rPr>
          <w:rFonts w:hint="eastAsia" w:ascii="楷体_GB2312" w:eastAsia="楷体_GB2312"/>
          <w:sz w:val="24"/>
        </w:rPr>
        <w:t>3.1</w:t>
      </w:r>
      <w:r>
        <w:rPr>
          <w:rFonts w:hint="eastAsia" w:ascii="楷体_GB2312" w:eastAsia="楷体_GB2312"/>
          <w:b/>
          <w:color w:val="FF0000"/>
          <w:sz w:val="24"/>
        </w:rPr>
        <w:t>竞标报价需含运保费、搬运费、安装费等所有间接费用</w:t>
      </w:r>
      <w:r>
        <w:rPr>
          <w:rFonts w:hint="eastAsia" w:ascii="楷体_GB2312" w:eastAsia="楷体_GB2312"/>
          <w:sz w:val="24"/>
        </w:rPr>
        <w:t>，由于竞标方错误理解竞标文件和答疑内容或统计有误等诸因素造成误报、漏报，均属竞标方责任。</w:t>
      </w:r>
    </w:p>
    <w:p>
      <w:pPr>
        <w:spacing w:line="480" w:lineRule="exact"/>
        <w:rPr>
          <w:rFonts w:ascii="楷体_GB2312" w:eastAsia="楷体_GB2312"/>
          <w:sz w:val="24"/>
        </w:rPr>
      </w:pPr>
      <w:r>
        <w:rPr>
          <w:rFonts w:hint="eastAsia" w:ascii="楷体_GB2312" w:eastAsia="楷体_GB2312"/>
          <w:sz w:val="24"/>
        </w:rPr>
        <w:t>3.2在供货期间如有定额调整、产品升级等价格上涨因素均不予以调整。</w:t>
      </w:r>
    </w:p>
    <w:p>
      <w:pPr>
        <w:spacing w:line="480" w:lineRule="exact"/>
        <w:rPr>
          <w:rFonts w:ascii="楷体_GB2312" w:eastAsia="楷体_GB2312"/>
          <w:sz w:val="24"/>
        </w:rPr>
      </w:pPr>
      <w:r>
        <w:rPr>
          <w:rFonts w:hint="eastAsia" w:ascii="楷体_GB2312" w:eastAsia="楷体_GB2312"/>
          <w:sz w:val="24"/>
        </w:rPr>
        <w:t>3.3因采购方原因延误项目，经采购方确认后，供货期给予顺延造价不予调整。</w:t>
      </w:r>
    </w:p>
    <w:p>
      <w:pPr>
        <w:spacing w:line="480" w:lineRule="exact"/>
        <w:rPr>
          <w:rFonts w:ascii="楷体_GB2312" w:eastAsia="楷体_GB2312"/>
          <w:sz w:val="24"/>
        </w:rPr>
      </w:pPr>
      <w:r>
        <w:rPr>
          <w:rFonts w:hint="eastAsia" w:ascii="楷体_GB2312" w:eastAsia="楷体_GB2312"/>
          <w:sz w:val="24"/>
        </w:rPr>
        <w:t>3.4竞标货币，竞标文件中的货币单位以人民币元为单位表示。</w:t>
      </w:r>
    </w:p>
    <w:p>
      <w:pPr>
        <w:spacing w:line="480" w:lineRule="exact"/>
        <w:rPr>
          <w:rFonts w:ascii="楷体_GB2312" w:eastAsia="楷体_GB2312"/>
          <w:sz w:val="24"/>
        </w:rPr>
      </w:pPr>
      <w:r>
        <w:rPr>
          <w:rFonts w:hint="eastAsia" w:ascii="楷体_GB2312" w:eastAsia="楷体_GB2312"/>
          <w:sz w:val="24"/>
        </w:rPr>
        <w:t>3.5当各分项单价与合价不符时，不考虑计算上错误一律以单价为准。</w:t>
      </w:r>
    </w:p>
    <w:p>
      <w:pPr>
        <w:spacing w:line="480" w:lineRule="exact"/>
        <w:rPr>
          <w:rFonts w:ascii="楷体_GB2312" w:eastAsia="楷体_GB2312"/>
          <w:b/>
          <w:sz w:val="24"/>
        </w:rPr>
      </w:pPr>
      <w:r>
        <w:rPr>
          <w:rFonts w:hint="eastAsia" w:ascii="楷体_GB2312" w:eastAsia="楷体_GB2312"/>
          <w:sz w:val="24"/>
        </w:rPr>
        <w:t>3.6竞标报价应报出下列内容：</w:t>
      </w:r>
    </w:p>
    <w:p>
      <w:pPr>
        <w:spacing w:line="440" w:lineRule="exact"/>
        <w:ind w:firstLine="482" w:firstLineChars="200"/>
        <w:rPr>
          <w:rFonts w:ascii="楷体_GB2312" w:eastAsia="楷体_GB2312"/>
          <w:b/>
          <w:sz w:val="24"/>
        </w:rPr>
      </w:pPr>
      <w:r>
        <w:rPr>
          <w:rFonts w:hint="eastAsia" w:ascii="楷体_GB2312" w:eastAsia="楷体_GB2312"/>
          <w:b/>
          <w:sz w:val="24"/>
        </w:rPr>
        <w:t>按附件</w:t>
      </w:r>
      <w:r>
        <w:rPr>
          <w:rFonts w:hint="eastAsia" w:ascii="楷体_GB2312" w:eastAsia="楷体_GB2312"/>
          <w:b/>
          <w:sz w:val="24"/>
          <w:lang w:val="en-US" w:eastAsia="zh-CN"/>
        </w:rPr>
        <w:t>2</w:t>
      </w:r>
      <w:r>
        <w:rPr>
          <w:rFonts w:hint="eastAsia" w:ascii="楷体_GB2312" w:eastAsia="楷体_GB2312"/>
          <w:b/>
          <w:sz w:val="24"/>
        </w:rPr>
        <w:t>内容填写。</w:t>
      </w:r>
    </w:p>
    <w:p>
      <w:pPr>
        <w:spacing w:line="460" w:lineRule="exact"/>
        <w:rPr>
          <w:rFonts w:ascii="楷体_GB2312" w:eastAsia="楷体_GB2312"/>
          <w:bCs/>
          <w:iCs/>
          <w:sz w:val="24"/>
        </w:rPr>
      </w:pPr>
      <w:r>
        <w:rPr>
          <w:rFonts w:hint="eastAsia" w:ascii="楷体_GB2312" w:eastAsia="楷体_GB2312"/>
          <w:sz w:val="24"/>
        </w:rPr>
        <w:t>3.7</w:t>
      </w:r>
      <w:r>
        <w:rPr>
          <w:rFonts w:hint="eastAsia" w:ascii="楷体_GB2312" w:eastAsia="楷体_GB2312"/>
          <w:bCs/>
          <w:iCs/>
          <w:sz w:val="24"/>
        </w:rPr>
        <w:t>竞标单位应按照附件</w:t>
      </w:r>
      <w:r>
        <w:rPr>
          <w:rFonts w:hint="eastAsia" w:ascii="楷体_GB2312" w:eastAsia="楷体_GB2312"/>
          <w:bCs/>
          <w:iCs/>
          <w:sz w:val="24"/>
          <w:lang w:val="en-US" w:eastAsia="zh-CN"/>
        </w:rPr>
        <w:t>2</w:t>
      </w:r>
      <w:r>
        <w:rPr>
          <w:rFonts w:hint="eastAsia" w:ascii="楷体_GB2312" w:eastAsia="楷体_GB2312"/>
          <w:bCs/>
          <w:iCs/>
          <w:sz w:val="24"/>
        </w:rPr>
        <w:t>《竞标一览表》提供的格式要求填报价格、配置、付款方式及帐期、货期、服务保修等（</w:t>
      </w:r>
      <w:r>
        <w:rPr>
          <w:rFonts w:hint="eastAsia" w:ascii="楷体_GB2312" w:eastAsia="楷体_GB2312"/>
          <w:b/>
          <w:bCs/>
          <w:iCs/>
          <w:sz w:val="24"/>
        </w:rPr>
        <w:t>不得修改竞标一览表，特殊情况可在：“说明/备注”中填写</w:t>
      </w:r>
      <w:r>
        <w:rPr>
          <w:rFonts w:hint="eastAsia" w:ascii="楷体_GB2312" w:eastAsia="楷体_GB2312"/>
          <w:bCs/>
          <w:iCs/>
          <w:sz w:val="24"/>
        </w:rPr>
        <w:t>）。</w:t>
      </w:r>
    </w:p>
    <w:p>
      <w:pPr>
        <w:spacing w:line="470" w:lineRule="exact"/>
        <w:rPr>
          <w:rFonts w:ascii="楷体_GB2312" w:eastAsia="楷体_GB2312"/>
          <w:sz w:val="24"/>
        </w:rPr>
      </w:pPr>
      <w:r>
        <w:rPr>
          <w:rFonts w:hint="eastAsia" w:ascii="楷体_GB2312" w:eastAsia="楷体_GB2312"/>
          <w:sz w:val="24"/>
        </w:rPr>
        <w:t>3.8 如因邀请方提出追加或减少定货量，应以本次报价（包含承诺的优惠幅度）为准进行核算。如竞标单位不同意，则应在竞标书中按竞标文件的要求注明另行的核算方式，否则将按本次报价为准。</w:t>
      </w:r>
    </w:p>
    <w:p>
      <w:pPr>
        <w:spacing w:line="470" w:lineRule="exact"/>
        <w:rPr>
          <w:rFonts w:ascii="楷体_GB2312" w:eastAsia="楷体_GB2312"/>
          <w:sz w:val="24"/>
        </w:rPr>
      </w:pPr>
      <w:r>
        <w:rPr>
          <w:rFonts w:hint="eastAsia" w:ascii="楷体_GB2312" w:eastAsia="楷体_GB2312"/>
          <w:sz w:val="24"/>
        </w:rPr>
        <w:t>3.9 竞标费用：竞标单位应承担编制竞标文件与送交竞标文件所涉及的一切费用。不管竞标结果如何，邀请单位对上述费用不负任何责任。</w:t>
      </w:r>
    </w:p>
    <w:p>
      <w:pPr>
        <w:spacing w:line="470" w:lineRule="exact"/>
        <w:rPr>
          <w:rFonts w:hint="eastAsia" w:ascii="楷体_GB2312" w:eastAsia="楷体_GB2312"/>
          <w:sz w:val="24"/>
        </w:rPr>
      </w:pPr>
      <w:r>
        <w:rPr>
          <w:rFonts w:hint="eastAsia" w:ascii="楷体_GB2312" w:eastAsia="楷体_GB2312"/>
          <w:sz w:val="24"/>
        </w:rPr>
        <w:t>3．10 邀请方的分公司、子公司、投资公司等下属单位均可按本次竞标内容进行采购。</w:t>
      </w:r>
    </w:p>
    <w:p>
      <w:pPr>
        <w:spacing w:line="480" w:lineRule="exact"/>
        <w:jc w:val="center"/>
        <w:rPr>
          <w:rFonts w:hint="default" w:ascii="楷体_GB2312" w:eastAsia="楷体_GB2312"/>
          <w:b/>
          <w:bCs/>
          <w:sz w:val="28"/>
          <w:szCs w:val="28"/>
          <w:lang w:val="en-US" w:eastAsia="zh-CN"/>
        </w:rPr>
      </w:pPr>
      <w:r>
        <w:rPr>
          <w:rFonts w:hint="eastAsia" w:ascii="楷体_GB2312" w:eastAsia="楷体_GB2312"/>
          <w:b/>
          <w:bCs/>
          <w:sz w:val="28"/>
          <w:szCs w:val="28"/>
          <w:lang w:val="en-US" w:eastAsia="zh-CN"/>
        </w:rPr>
        <w:t>第三章：产品售后服务</w:t>
      </w:r>
    </w:p>
    <w:p>
      <w:pPr>
        <w:spacing w:line="470" w:lineRule="exact"/>
        <w:jc w:val="center"/>
        <w:rPr>
          <w:rFonts w:hint="eastAsia" w:ascii="楷体_GB2312" w:eastAsia="楷体_GB2312"/>
          <w:b/>
          <w:bCs/>
          <w:sz w:val="24"/>
          <w:lang w:val="en-US" w:eastAsia="zh-CN"/>
        </w:rPr>
      </w:pPr>
    </w:p>
    <w:p>
      <w:pPr>
        <w:spacing w:line="470" w:lineRule="exact"/>
        <w:jc w:val="both"/>
        <w:rPr>
          <w:rFonts w:hint="eastAsia" w:ascii="楷体_GB2312" w:eastAsia="楷体_GB2312"/>
          <w:b w:val="0"/>
          <w:bCs w:val="0"/>
          <w:sz w:val="24"/>
          <w:lang w:val="en-US" w:eastAsia="zh-CN"/>
        </w:rPr>
      </w:pPr>
      <w:r>
        <w:rPr>
          <w:rFonts w:hint="eastAsia" w:ascii="楷体_GB2312" w:eastAsia="楷体_GB2312"/>
          <w:b w:val="0"/>
          <w:bCs w:val="0"/>
          <w:sz w:val="24"/>
          <w:lang w:val="en-US" w:eastAsia="zh-CN"/>
        </w:rPr>
        <w:t>3.1 提供市场最新产品信息及行业发展动态；</w:t>
      </w:r>
    </w:p>
    <w:p>
      <w:pPr>
        <w:spacing w:line="470" w:lineRule="exact"/>
        <w:jc w:val="both"/>
        <w:rPr>
          <w:rFonts w:hint="eastAsia" w:ascii="楷体_GB2312" w:eastAsia="楷体_GB2312"/>
          <w:b w:val="0"/>
          <w:bCs w:val="0"/>
          <w:sz w:val="24"/>
          <w:lang w:val="en-US" w:eastAsia="zh-CN"/>
        </w:rPr>
      </w:pPr>
      <w:r>
        <w:rPr>
          <w:rFonts w:hint="eastAsia" w:ascii="楷体_GB2312" w:eastAsia="楷体_GB2312"/>
          <w:b w:val="0"/>
          <w:bCs w:val="0"/>
          <w:sz w:val="24"/>
          <w:lang w:val="en-US" w:eastAsia="zh-CN"/>
        </w:rPr>
        <w:t>3.2 提供最低采购价格义务前提下，更多提供实操培训及提供高级技师做上门指导；</w:t>
      </w:r>
    </w:p>
    <w:p>
      <w:pPr>
        <w:spacing w:line="470" w:lineRule="exact"/>
        <w:jc w:val="both"/>
        <w:rPr>
          <w:rFonts w:hint="default" w:ascii="楷体_GB2312" w:eastAsia="楷体_GB2312"/>
          <w:b/>
          <w:bCs/>
          <w:sz w:val="24"/>
          <w:lang w:val="en-US" w:eastAsia="zh-CN"/>
        </w:rPr>
      </w:pPr>
      <w:r>
        <w:rPr>
          <w:rFonts w:hint="eastAsia" w:ascii="楷体_GB2312" w:eastAsia="楷体_GB2312"/>
          <w:b w:val="0"/>
          <w:bCs w:val="0"/>
          <w:sz w:val="24"/>
          <w:lang w:val="en-US" w:eastAsia="zh-CN"/>
        </w:rPr>
        <w:t>3.3 提供优质产品质量保障，及时帮助企业解决使用中产生的问题。</w:t>
      </w:r>
    </w:p>
    <w:p>
      <w:pPr>
        <w:spacing w:line="470" w:lineRule="exact"/>
        <w:rPr>
          <w:rFonts w:hint="default" w:ascii="楷体_GB2312" w:eastAsia="楷体_GB2312"/>
          <w:sz w:val="24"/>
          <w:lang w:val="en-US" w:eastAsia="zh-CN"/>
        </w:rPr>
      </w:pPr>
    </w:p>
    <w:p>
      <w:pPr>
        <w:spacing w:line="480" w:lineRule="exact"/>
        <w:rPr>
          <w:rFonts w:ascii="楷体_GB2312" w:eastAsia="楷体_GB2312"/>
          <w:b/>
          <w:sz w:val="24"/>
        </w:rPr>
      </w:pPr>
    </w:p>
    <w:p>
      <w:pPr>
        <w:spacing w:line="480" w:lineRule="exact"/>
        <w:rPr>
          <w:rFonts w:ascii="楷体_GB2312" w:eastAsia="楷体_GB2312"/>
          <w:b/>
          <w:sz w:val="24"/>
        </w:rPr>
      </w:pPr>
    </w:p>
    <w:p>
      <w:pPr>
        <w:spacing w:line="480" w:lineRule="exact"/>
        <w:jc w:val="center"/>
        <w:rPr>
          <w:rFonts w:ascii="楷体_GB2312" w:eastAsia="楷体_GB2312"/>
          <w:b/>
          <w:sz w:val="28"/>
          <w:szCs w:val="28"/>
        </w:rPr>
      </w:pPr>
      <w:r>
        <w:rPr>
          <w:rFonts w:hint="eastAsia" w:ascii="楷体_GB2312" w:eastAsia="楷体_GB2312"/>
          <w:b/>
          <w:sz w:val="28"/>
          <w:szCs w:val="28"/>
        </w:rPr>
        <w:t>第四章  竞标文件的编制</w:t>
      </w:r>
    </w:p>
    <w:p>
      <w:pPr>
        <w:spacing w:line="440" w:lineRule="exact"/>
        <w:rPr>
          <w:rFonts w:ascii="楷体_GB2312" w:eastAsia="楷体_GB2312"/>
          <w:sz w:val="24"/>
        </w:rPr>
      </w:pPr>
    </w:p>
    <w:p>
      <w:pPr>
        <w:spacing w:line="440" w:lineRule="exact"/>
        <w:rPr>
          <w:rFonts w:ascii="楷体_GB2312" w:eastAsia="楷体_GB2312"/>
          <w:sz w:val="24"/>
        </w:rPr>
      </w:pPr>
      <w:r>
        <w:rPr>
          <w:rFonts w:hint="eastAsia" w:ascii="楷体_GB2312" w:eastAsia="楷体_GB2312"/>
          <w:sz w:val="24"/>
        </w:rPr>
        <w:t>4.1竞标文件的语言</w:t>
      </w:r>
    </w:p>
    <w:p>
      <w:pPr>
        <w:spacing w:line="440" w:lineRule="exact"/>
        <w:ind w:firstLine="480" w:firstLineChars="200"/>
        <w:rPr>
          <w:rFonts w:ascii="楷体_GB2312" w:eastAsia="楷体_GB2312"/>
          <w:sz w:val="24"/>
        </w:rPr>
      </w:pPr>
      <w:r>
        <w:rPr>
          <w:rFonts w:hint="eastAsia" w:ascii="楷体_GB2312" w:eastAsia="楷体_GB2312"/>
          <w:sz w:val="24"/>
        </w:rPr>
        <w:t>竞标文件及竞标单位与邀请单位之间的一切来往通知、函件、文件均使用简体中文。</w:t>
      </w:r>
    </w:p>
    <w:p>
      <w:pPr>
        <w:spacing w:line="440" w:lineRule="exact"/>
        <w:rPr>
          <w:rFonts w:ascii="楷体_GB2312" w:eastAsia="楷体_GB2312"/>
          <w:sz w:val="24"/>
        </w:rPr>
      </w:pPr>
      <w:r>
        <w:rPr>
          <w:rFonts w:hint="eastAsia" w:ascii="楷体_GB2312" w:eastAsia="楷体_GB2312"/>
          <w:sz w:val="24"/>
        </w:rPr>
        <w:t>4.2竞标文件的组成，应包括资质、技术、商务三部份。</w:t>
      </w:r>
    </w:p>
    <w:p>
      <w:pPr>
        <w:spacing w:line="480" w:lineRule="exact"/>
        <w:rPr>
          <w:rFonts w:ascii="楷体_GB2312" w:eastAsia="楷体_GB2312"/>
          <w:sz w:val="24"/>
        </w:rPr>
      </w:pPr>
      <w:r>
        <w:rPr>
          <w:rFonts w:hint="eastAsia" w:ascii="楷体_GB2312" w:eastAsia="楷体_GB2312"/>
          <w:sz w:val="24"/>
        </w:rPr>
        <w:t xml:space="preserve">4.2.1  </w:t>
      </w:r>
      <w:r>
        <w:rPr>
          <w:rFonts w:hint="eastAsia" w:ascii="楷体_GB2312" w:eastAsia="楷体_GB2312"/>
          <w:b/>
          <w:sz w:val="24"/>
        </w:rPr>
        <w:t>资质部份</w:t>
      </w:r>
      <w:r>
        <w:rPr>
          <w:rFonts w:hint="eastAsia" w:ascii="楷体_GB2312" w:eastAsia="楷体_GB2312"/>
          <w:sz w:val="24"/>
        </w:rPr>
        <w:t>应包括下列内容，并依下列装订顺序装订：</w:t>
      </w:r>
    </w:p>
    <w:p>
      <w:pPr>
        <w:spacing w:line="470" w:lineRule="exact"/>
        <w:ind w:firstLine="480" w:firstLineChars="200"/>
        <w:rPr>
          <w:rFonts w:ascii="楷体_GB2312" w:eastAsia="楷体_GB2312"/>
          <w:sz w:val="24"/>
        </w:rPr>
      </w:pPr>
      <w:r>
        <w:rPr>
          <w:rFonts w:hint="eastAsia" w:ascii="楷体_GB2312" w:eastAsia="楷体_GB2312"/>
          <w:sz w:val="24"/>
        </w:rPr>
        <w:t>1、竞标书（见附件</w:t>
      </w:r>
      <w:r>
        <w:rPr>
          <w:rFonts w:hint="eastAsia" w:ascii="楷体_GB2312" w:eastAsia="楷体_GB2312"/>
          <w:sz w:val="24"/>
          <w:lang w:val="en-US" w:eastAsia="zh-CN"/>
        </w:rPr>
        <w:t>1</w:t>
      </w:r>
      <w:r>
        <w:rPr>
          <w:rFonts w:hint="eastAsia" w:ascii="楷体_GB2312" w:eastAsia="楷体_GB2312"/>
          <w:sz w:val="24"/>
        </w:rPr>
        <w:t>）</w:t>
      </w:r>
    </w:p>
    <w:p>
      <w:pPr>
        <w:spacing w:line="470" w:lineRule="exact"/>
        <w:ind w:firstLine="480" w:firstLineChars="200"/>
        <w:rPr>
          <w:rFonts w:ascii="楷体_GB2312" w:eastAsia="楷体_GB2312"/>
          <w:sz w:val="24"/>
        </w:rPr>
      </w:pPr>
      <w:r>
        <w:rPr>
          <w:rFonts w:hint="eastAsia" w:ascii="楷体_GB2312" w:eastAsia="楷体_GB2312"/>
          <w:sz w:val="24"/>
        </w:rPr>
        <w:t>2、法定代表人资格证明书（见附件</w:t>
      </w:r>
      <w:r>
        <w:rPr>
          <w:rFonts w:hint="eastAsia" w:ascii="楷体_GB2312" w:eastAsia="楷体_GB2312"/>
          <w:sz w:val="24"/>
          <w:lang w:val="en-US" w:eastAsia="zh-CN"/>
        </w:rPr>
        <w:t>1</w:t>
      </w:r>
      <w:r>
        <w:rPr>
          <w:rFonts w:hint="eastAsia" w:ascii="楷体_GB2312" w:eastAsia="楷体_GB2312"/>
          <w:sz w:val="24"/>
        </w:rPr>
        <w:t>）</w:t>
      </w:r>
    </w:p>
    <w:p>
      <w:pPr>
        <w:spacing w:line="470" w:lineRule="exact"/>
        <w:ind w:firstLine="480" w:firstLineChars="200"/>
        <w:rPr>
          <w:rFonts w:ascii="楷体_GB2312" w:eastAsia="楷体_GB2312"/>
          <w:sz w:val="24"/>
        </w:rPr>
      </w:pPr>
      <w:r>
        <w:rPr>
          <w:rFonts w:hint="eastAsia" w:ascii="楷体_GB2312" w:eastAsia="楷体_GB2312"/>
          <w:sz w:val="24"/>
        </w:rPr>
        <w:t>3、授权委托书（见附件</w:t>
      </w:r>
      <w:r>
        <w:rPr>
          <w:rFonts w:hint="eastAsia" w:ascii="楷体_GB2312" w:eastAsia="楷体_GB2312"/>
          <w:sz w:val="24"/>
          <w:lang w:val="en-US" w:eastAsia="zh-CN"/>
        </w:rPr>
        <w:t>1</w:t>
      </w:r>
      <w:r>
        <w:rPr>
          <w:rFonts w:hint="eastAsia" w:ascii="楷体_GB2312" w:eastAsia="楷体_GB2312"/>
          <w:sz w:val="24"/>
        </w:rPr>
        <w:t>）</w:t>
      </w:r>
    </w:p>
    <w:p>
      <w:pPr>
        <w:spacing w:line="470" w:lineRule="exact"/>
        <w:ind w:firstLine="480" w:firstLineChars="200"/>
        <w:rPr>
          <w:rFonts w:ascii="楷体_GB2312" w:eastAsia="楷体_GB2312"/>
          <w:sz w:val="24"/>
        </w:rPr>
      </w:pPr>
      <w:r>
        <w:rPr>
          <w:rFonts w:hint="eastAsia" w:ascii="楷体_GB2312" w:eastAsia="楷体_GB2312"/>
          <w:sz w:val="24"/>
        </w:rPr>
        <w:t>4、承诺书（见附件</w:t>
      </w:r>
      <w:r>
        <w:rPr>
          <w:rFonts w:hint="eastAsia" w:ascii="楷体_GB2312" w:eastAsia="楷体_GB2312"/>
          <w:sz w:val="24"/>
          <w:lang w:val="en-US" w:eastAsia="zh-CN"/>
        </w:rPr>
        <w:t>1</w:t>
      </w:r>
      <w:r>
        <w:rPr>
          <w:rFonts w:hint="eastAsia" w:ascii="楷体_GB2312" w:eastAsia="楷体_GB2312"/>
          <w:sz w:val="24"/>
        </w:rPr>
        <w:t>）</w:t>
      </w:r>
    </w:p>
    <w:p>
      <w:pPr>
        <w:spacing w:line="470" w:lineRule="exact"/>
        <w:ind w:firstLine="480" w:firstLineChars="200"/>
        <w:rPr>
          <w:rFonts w:ascii="楷体_GB2312" w:eastAsia="楷体_GB2312"/>
          <w:sz w:val="24"/>
        </w:rPr>
      </w:pPr>
      <w:r>
        <w:rPr>
          <w:rFonts w:hint="eastAsia" w:ascii="楷体_GB2312" w:eastAsia="楷体_GB2312"/>
          <w:sz w:val="24"/>
        </w:rPr>
        <w:t>5、制造商及投标单位简要概况，包括企业性质、资产经营状况等。</w:t>
      </w:r>
    </w:p>
    <w:p>
      <w:pPr>
        <w:spacing w:line="470" w:lineRule="exact"/>
        <w:ind w:firstLine="480" w:firstLineChars="200"/>
        <w:rPr>
          <w:rFonts w:ascii="楷体_GB2312" w:eastAsia="楷体_GB2312"/>
          <w:sz w:val="24"/>
        </w:rPr>
      </w:pPr>
      <w:r>
        <w:rPr>
          <w:rFonts w:hint="eastAsia" w:ascii="楷体_GB2312" w:eastAsia="楷体_GB2312"/>
          <w:sz w:val="24"/>
        </w:rPr>
        <w:t>6、资格证明文件：投标单位必须提供以下资料的原件或复印件，复印件需加盖投标单位公章：</w:t>
      </w:r>
    </w:p>
    <w:p>
      <w:pPr>
        <w:spacing w:line="470" w:lineRule="exact"/>
        <w:ind w:left="851"/>
        <w:rPr>
          <w:rFonts w:ascii="楷体_GB2312" w:eastAsia="楷体_GB2312"/>
          <w:sz w:val="24"/>
        </w:rPr>
      </w:pPr>
      <w:r>
        <w:rPr>
          <w:rFonts w:ascii="楷体_GB2312" w:eastAsia="楷体_GB2312"/>
          <w:sz w:val="24"/>
        </w:rPr>
        <w:fldChar w:fldCharType="begin"/>
      </w:r>
      <w:r>
        <w:rPr>
          <w:rFonts w:ascii="楷体_GB2312" w:eastAsia="楷体_GB2312"/>
          <w:sz w:val="24"/>
        </w:rPr>
        <w:instrText xml:space="preserve"> </w:instrText>
      </w:r>
      <w:r>
        <w:rPr>
          <w:rFonts w:hint="eastAsia" w:ascii="楷体_GB2312" w:eastAsia="楷体_GB2312"/>
          <w:sz w:val="24"/>
        </w:rPr>
        <w:instrText xml:space="preserve">= 1 \* GB3</w:instrText>
      </w:r>
      <w:r>
        <w:rPr>
          <w:rFonts w:ascii="楷体_GB2312" w:eastAsia="楷体_GB2312"/>
          <w:sz w:val="24"/>
        </w:rPr>
        <w:instrText xml:space="preserve"> </w:instrText>
      </w:r>
      <w:r>
        <w:rPr>
          <w:rFonts w:ascii="楷体_GB2312" w:eastAsia="楷体_GB2312"/>
          <w:sz w:val="24"/>
        </w:rPr>
        <w:fldChar w:fldCharType="separate"/>
      </w:r>
      <w:r>
        <w:rPr>
          <w:rFonts w:hint="eastAsia" w:ascii="楷体_GB2312" w:eastAsia="楷体_GB2312"/>
          <w:sz w:val="24"/>
        </w:rPr>
        <w:t>①</w:t>
      </w:r>
      <w:r>
        <w:rPr>
          <w:rFonts w:ascii="楷体_GB2312" w:eastAsia="楷体_GB2312"/>
          <w:sz w:val="24"/>
        </w:rPr>
        <w:fldChar w:fldCharType="end"/>
      </w:r>
      <w:r>
        <w:rPr>
          <w:rFonts w:hint="eastAsia" w:ascii="楷体_GB2312" w:eastAsia="楷体_GB2312"/>
          <w:sz w:val="24"/>
        </w:rPr>
        <w:t xml:space="preserve"> 企业法人营业执照, 且年检合格；</w:t>
      </w:r>
    </w:p>
    <w:p>
      <w:pPr>
        <w:spacing w:line="470" w:lineRule="exact"/>
        <w:ind w:left="851"/>
        <w:rPr>
          <w:rFonts w:ascii="楷体_GB2312" w:eastAsia="楷体_GB2312"/>
          <w:sz w:val="24"/>
        </w:rPr>
      </w:pPr>
      <w:r>
        <w:rPr>
          <w:rFonts w:ascii="楷体_GB2312" w:eastAsia="楷体_GB2312"/>
          <w:sz w:val="24"/>
        </w:rPr>
        <w:fldChar w:fldCharType="begin"/>
      </w:r>
      <w:r>
        <w:rPr>
          <w:rFonts w:ascii="楷体_GB2312" w:eastAsia="楷体_GB2312"/>
          <w:sz w:val="24"/>
        </w:rPr>
        <w:instrText xml:space="preserve"> </w:instrText>
      </w:r>
      <w:r>
        <w:rPr>
          <w:rFonts w:hint="eastAsia" w:ascii="楷体_GB2312" w:eastAsia="楷体_GB2312"/>
          <w:sz w:val="24"/>
        </w:rPr>
        <w:instrText xml:space="preserve">= 2 \* GB3</w:instrText>
      </w:r>
      <w:r>
        <w:rPr>
          <w:rFonts w:ascii="楷体_GB2312" w:eastAsia="楷体_GB2312"/>
          <w:sz w:val="24"/>
        </w:rPr>
        <w:instrText xml:space="preserve"> </w:instrText>
      </w:r>
      <w:r>
        <w:rPr>
          <w:rFonts w:ascii="楷体_GB2312" w:eastAsia="楷体_GB2312"/>
          <w:sz w:val="24"/>
        </w:rPr>
        <w:fldChar w:fldCharType="separate"/>
      </w:r>
      <w:r>
        <w:rPr>
          <w:rFonts w:hint="eastAsia" w:ascii="楷体_GB2312" w:eastAsia="楷体_GB2312"/>
          <w:sz w:val="24"/>
        </w:rPr>
        <w:t>②</w:t>
      </w:r>
      <w:r>
        <w:rPr>
          <w:rFonts w:ascii="楷体_GB2312" w:eastAsia="楷体_GB2312"/>
          <w:sz w:val="24"/>
        </w:rPr>
        <w:fldChar w:fldCharType="end"/>
      </w:r>
      <w:r>
        <w:rPr>
          <w:rFonts w:hint="eastAsia" w:ascii="楷体_GB2312" w:eastAsia="楷体_GB2312"/>
          <w:sz w:val="24"/>
        </w:rPr>
        <w:t xml:space="preserve"> 法人组织机构代码证，且年检合格；</w:t>
      </w:r>
    </w:p>
    <w:p>
      <w:pPr>
        <w:spacing w:line="470" w:lineRule="exact"/>
        <w:ind w:firstLine="847" w:firstLineChars="353"/>
        <w:rPr>
          <w:rFonts w:ascii="楷体_GB2312" w:eastAsia="楷体_GB2312"/>
          <w:sz w:val="24"/>
        </w:rPr>
      </w:pPr>
      <w:r>
        <w:rPr>
          <w:rFonts w:ascii="楷体_GB2312" w:eastAsia="楷体_GB2312"/>
          <w:sz w:val="24"/>
        </w:rPr>
        <w:fldChar w:fldCharType="begin"/>
      </w:r>
      <w:r>
        <w:rPr>
          <w:rFonts w:ascii="楷体_GB2312" w:eastAsia="楷体_GB2312"/>
          <w:sz w:val="24"/>
        </w:rPr>
        <w:instrText xml:space="preserve"> </w:instrText>
      </w:r>
      <w:r>
        <w:rPr>
          <w:rFonts w:hint="eastAsia" w:ascii="楷体_GB2312" w:eastAsia="楷体_GB2312"/>
          <w:sz w:val="24"/>
        </w:rPr>
        <w:instrText xml:space="preserve">= 3 \* GB3</w:instrText>
      </w:r>
      <w:r>
        <w:rPr>
          <w:rFonts w:ascii="楷体_GB2312" w:eastAsia="楷体_GB2312"/>
          <w:sz w:val="24"/>
        </w:rPr>
        <w:instrText xml:space="preserve"> </w:instrText>
      </w:r>
      <w:r>
        <w:rPr>
          <w:rFonts w:ascii="楷体_GB2312" w:eastAsia="楷体_GB2312"/>
          <w:sz w:val="24"/>
        </w:rPr>
        <w:fldChar w:fldCharType="separate"/>
      </w:r>
      <w:r>
        <w:rPr>
          <w:rFonts w:hint="eastAsia" w:ascii="楷体_GB2312" w:eastAsia="楷体_GB2312"/>
          <w:sz w:val="24"/>
        </w:rPr>
        <w:t>③</w:t>
      </w:r>
      <w:r>
        <w:rPr>
          <w:rFonts w:ascii="楷体_GB2312" w:eastAsia="楷体_GB2312"/>
          <w:sz w:val="24"/>
        </w:rPr>
        <w:fldChar w:fldCharType="end"/>
      </w:r>
      <w:r>
        <w:rPr>
          <w:rFonts w:hint="eastAsia" w:ascii="楷体_GB2312" w:eastAsia="楷体_GB2312"/>
          <w:sz w:val="24"/>
        </w:rPr>
        <w:t xml:space="preserve"> 税务登记证（国税、地税），且年检合格；</w:t>
      </w:r>
    </w:p>
    <w:p>
      <w:pPr>
        <w:spacing w:line="470" w:lineRule="exact"/>
        <w:ind w:firstLine="847" w:firstLineChars="353"/>
        <w:rPr>
          <w:rFonts w:ascii="楷体_GB2312" w:eastAsia="楷体_GB2312"/>
          <w:sz w:val="24"/>
        </w:rPr>
      </w:pPr>
      <w:r>
        <w:rPr>
          <w:rFonts w:ascii="楷体_GB2312" w:eastAsia="楷体_GB2312"/>
          <w:sz w:val="24"/>
        </w:rPr>
        <w:fldChar w:fldCharType="begin"/>
      </w:r>
      <w:r>
        <w:rPr>
          <w:rFonts w:ascii="楷体_GB2312" w:eastAsia="楷体_GB2312"/>
          <w:sz w:val="24"/>
        </w:rPr>
        <w:instrText xml:space="preserve"> </w:instrText>
      </w:r>
      <w:r>
        <w:rPr>
          <w:rFonts w:hint="eastAsia" w:ascii="楷体_GB2312" w:eastAsia="楷体_GB2312"/>
          <w:sz w:val="24"/>
        </w:rPr>
        <w:instrText xml:space="preserve">= 4 \* GB3</w:instrText>
      </w:r>
      <w:r>
        <w:rPr>
          <w:rFonts w:ascii="楷体_GB2312" w:eastAsia="楷体_GB2312"/>
          <w:sz w:val="24"/>
        </w:rPr>
        <w:instrText xml:space="preserve"> </w:instrText>
      </w:r>
      <w:r>
        <w:rPr>
          <w:rFonts w:ascii="楷体_GB2312" w:eastAsia="楷体_GB2312"/>
          <w:sz w:val="24"/>
        </w:rPr>
        <w:fldChar w:fldCharType="separate"/>
      </w:r>
      <w:r>
        <w:rPr>
          <w:rFonts w:hint="eastAsia" w:ascii="楷体_GB2312" w:eastAsia="楷体_GB2312"/>
          <w:sz w:val="24"/>
        </w:rPr>
        <w:t>④</w:t>
      </w:r>
      <w:r>
        <w:rPr>
          <w:rFonts w:ascii="楷体_GB2312" w:eastAsia="楷体_GB2312"/>
          <w:sz w:val="24"/>
        </w:rPr>
        <w:fldChar w:fldCharType="end"/>
      </w:r>
      <w:r>
        <w:rPr>
          <w:rFonts w:hint="eastAsia" w:ascii="楷体_GB2312" w:eastAsia="楷体_GB2312"/>
          <w:sz w:val="24"/>
        </w:rPr>
        <w:t xml:space="preserve"> 《医疗器械生产许可证》或者《医疗器械经营许可证》；</w:t>
      </w:r>
    </w:p>
    <w:p>
      <w:pPr>
        <w:spacing w:line="470" w:lineRule="exact"/>
        <w:ind w:left="1272" w:leftChars="405" w:hanging="422" w:hangingChars="176"/>
        <w:rPr>
          <w:rFonts w:ascii="楷体_GB2312" w:eastAsia="楷体_GB2312"/>
          <w:sz w:val="24"/>
        </w:rPr>
      </w:pPr>
      <w:r>
        <w:rPr>
          <w:rFonts w:ascii="楷体_GB2312" w:eastAsia="楷体_GB2312"/>
          <w:sz w:val="24"/>
        </w:rPr>
        <w:fldChar w:fldCharType="begin"/>
      </w:r>
      <w:r>
        <w:rPr>
          <w:rFonts w:ascii="楷体_GB2312" w:eastAsia="楷体_GB2312"/>
          <w:sz w:val="24"/>
        </w:rPr>
        <w:instrText xml:space="preserve"> </w:instrText>
      </w:r>
      <w:r>
        <w:rPr>
          <w:rFonts w:hint="eastAsia" w:ascii="楷体_GB2312" w:eastAsia="楷体_GB2312"/>
          <w:sz w:val="24"/>
        </w:rPr>
        <w:instrText xml:space="preserve">= 5 \* GB3</w:instrText>
      </w:r>
      <w:r>
        <w:rPr>
          <w:rFonts w:ascii="楷体_GB2312" w:eastAsia="楷体_GB2312"/>
          <w:sz w:val="24"/>
        </w:rPr>
        <w:instrText xml:space="preserve"> </w:instrText>
      </w:r>
      <w:r>
        <w:rPr>
          <w:rFonts w:ascii="楷体_GB2312" w:eastAsia="楷体_GB2312"/>
          <w:sz w:val="24"/>
        </w:rPr>
        <w:fldChar w:fldCharType="separate"/>
      </w:r>
      <w:r>
        <w:rPr>
          <w:rFonts w:hint="eastAsia" w:ascii="楷体_GB2312" w:eastAsia="楷体_GB2312"/>
          <w:sz w:val="24"/>
        </w:rPr>
        <w:t>⑤</w:t>
      </w:r>
      <w:r>
        <w:rPr>
          <w:rFonts w:ascii="楷体_GB2312" w:eastAsia="楷体_GB2312"/>
          <w:sz w:val="24"/>
        </w:rPr>
        <w:fldChar w:fldCharType="end"/>
      </w:r>
      <w:r>
        <w:rPr>
          <w:rFonts w:hint="eastAsia" w:ascii="楷体_GB2312" w:eastAsia="楷体_GB2312"/>
          <w:sz w:val="24"/>
        </w:rPr>
        <w:t xml:space="preserve"> 《医疗器械注册证》，且在有效期内；如注册证正在申请中，需提供注册申请的相关资料。</w:t>
      </w:r>
    </w:p>
    <w:p>
      <w:pPr>
        <w:spacing w:line="470" w:lineRule="exact"/>
        <w:ind w:firstLine="847" w:firstLineChars="353"/>
        <w:rPr>
          <w:rFonts w:ascii="楷体_GB2312" w:eastAsia="楷体_GB2312"/>
          <w:sz w:val="24"/>
        </w:rPr>
      </w:pPr>
      <w:r>
        <w:rPr>
          <w:rFonts w:ascii="楷体_GB2312" w:eastAsia="楷体_GB2312"/>
          <w:sz w:val="24"/>
        </w:rPr>
        <w:fldChar w:fldCharType="begin"/>
      </w:r>
      <w:r>
        <w:rPr>
          <w:rFonts w:ascii="楷体_GB2312" w:eastAsia="楷体_GB2312"/>
          <w:sz w:val="24"/>
        </w:rPr>
        <w:instrText xml:space="preserve"> </w:instrText>
      </w:r>
      <w:r>
        <w:rPr>
          <w:rFonts w:hint="eastAsia" w:ascii="楷体_GB2312" w:eastAsia="楷体_GB2312"/>
          <w:sz w:val="24"/>
        </w:rPr>
        <w:instrText xml:space="preserve">= 6 \* GB3</w:instrText>
      </w:r>
      <w:r>
        <w:rPr>
          <w:rFonts w:ascii="楷体_GB2312" w:eastAsia="楷体_GB2312"/>
          <w:sz w:val="24"/>
        </w:rPr>
        <w:instrText xml:space="preserve"> </w:instrText>
      </w:r>
      <w:r>
        <w:rPr>
          <w:rFonts w:ascii="楷体_GB2312" w:eastAsia="楷体_GB2312"/>
          <w:sz w:val="24"/>
        </w:rPr>
        <w:fldChar w:fldCharType="separate"/>
      </w:r>
      <w:r>
        <w:rPr>
          <w:rFonts w:hint="eastAsia" w:ascii="楷体_GB2312" w:eastAsia="楷体_GB2312"/>
          <w:sz w:val="24"/>
        </w:rPr>
        <w:t>⑥</w:t>
      </w:r>
      <w:r>
        <w:rPr>
          <w:rFonts w:ascii="楷体_GB2312" w:eastAsia="楷体_GB2312"/>
          <w:sz w:val="24"/>
        </w:rPr>
        <w:fldChar w:fldCharType="end"/>
      </w:r>
      <w:r>
        <w:rPr>
          <w:rFonts w:hint="eastAsia" w:ascii="楷体_GB2312" w:eastAsia="楷体_GB2312"/>
          <w:sz w:val="24"/>
        </w:rPr>
        <w:t xml:space="preserve"> 原装进口产品需提供进口关单。</w:t>
      </w:r>
    </w:p>
    <w:p>
      <w:pPr>
        <w:spacing w:line="470" w:lineRule="exact"/>
        <w:ind w:firstLine="847" w:firstLineChars="353"/>
        <w:rPr>
          <w:rFonts w:ascii="楷体_GB2312" w:eastAsia="楷体_GB2312"/>
          <w:sz w:val="24"/>
        </w:rPr>
      </w:pPr>
      <w:r>
        <w:rPr>
          <w:rFonts w:ascii="楷体_GB2312" w:eastAsia="楷体_GB2312"/>
          <w:sz w:val="24"/>
        </w:rPr>
        <w:fldChar w:fldCharType="begin"/>
      </w:r>
      <w:r>
        <w:rPr>
          <w:rFonts w:ascii="楷体_GB2312" w:eastAsia="楷体_GB2312"/>
          <w:sz w:val="24"/>
        </w:rPr>
        <w:instrText xml:space="preserve"> </w:instrText>
      </w:r>
      <w:r>
        <w:rPr>
          <w:rFonts w:hint="eastAsia" w:ascii="楷体_GB2312" w:eastAsia="楷体_GB2312"/>
          <w:sz w:val="24"/>
        </w:rPr>
        <w:instrText xml:space="preserve">= 7 \* GB3</w:instrText>
      </w:r>
      <w:r>
        <w:rPr>
          <w:rFonts w:ascii="楷体_GB2312" w:eastAsia="楷体_GB2312"/>
          <w:sz w:val="24"/>
        </w:rPr>
        <w:instrText xml:space="preserve"> </w:instrText>
      </w:r>
      <w:r>
        <w:rPr>
          <w:rFonts w:ascii="楷体_GB2312" w:eastAsia="楷体_GB2312"/>
          <w:sz w:val="24"/>
        </w:rPr>
        <w:fldChar w:fldCharType="separate"/>
      </w:r>
      <w:r>
        <w:rPr>
          <w:rFonts w:hint="eastAsia" w:ascii="楷体_GB2312" w:eastAsia="楷体_GB2312"/>
          <w:sz w:val="24"/>
        </w:rPr>
        <w:t>⑦</w:t>
      </w:r>
      <w:r>
        <w:rPr>
          <w:rFonts w:ascii="楷体_GB2312" w:eastAsia="楷体_GB2312"/>
          <w:sz w:val="24"/>
        </w:rPr>
        <w:fldChar w:fldCharType="end"/>
      </w:r>
      <w:r>
        <w:rPr>
          <w:rFonts w:hint="eastAsia" w:ascii="楷体_GB2312" w:eastAsia="楷体_GB2312"/>
          <w:sz w:val="24"/>
        </w:rPr>
        <w:t xml:space="preserve"> 投标企业及相关产品的等级证书、质量认证、管理体系认证等。</w:t>
      </w:r>
    </w:p>
    <w:p>
      <w:pPr>
        <w:spacing w:line="470" w:lineRule="exact"/>
        <w:ind w:firstLine="847" w:firstLineChars="353"/>
        <w:rPr>
          <w:rFonts w:ascii="楷体_GB2312" w:eastAsia="楷体_GB2312"/>
          <w:sz w:val="24"/>
        </w:rPr>
      </w:pPr>
      <w:r>
        <w:rPr>
          <w:rFonts w:ascii="楷体_GB2312" w:eastAsia="楷体_GB2312"/>
          <w:sz w:val="24"/>
        </w:rPr>
        <w:fldChar w:fldCharType="begin"/>
      </w:r>
      <w:r>
        <w:rPr>
          <w:rFonts w:ascii="楷体_GB2312" w:eastAsia="楷体_GB2312"/>
          <w:sz w:val="24"/>
        </w:rPr>
        <w:instrText xml:space="preserve"> </w:instrText>
      </w:r>
      <w:r>
        <w:rPr>
          <w:rFonts w:hint="eastAsia" w:ascii="楷体_GB2312" w:eastAsia="楷体_GB2312"/>
          <w:sz w:val="24"/>
        </w:rPr>
        <w:instrText xml:space="preserve">= 8 \* GB3</w:instrText>
      </w:r>
      <w:r>
        <w:rPr>
          <w:rFonts w:ascii="楷体_GB2312" w:eastAsia="楷体_GB2312"/>
          <w:sz w:val="24"/>
        </w:rPr>
        <w:instrText xml:space="preserve"> </w:instrText>
      </w:r>
      <w:r>
        <w:rPr>
          <w:rFonts w:ascii="楷体_GB2312" w:eastAsia="楷体_GB2312"/>
          <w:sz w:val="24"/>
        </w:rPr>
        <w:fldChar w:fldCharType="separate"/>
      </w:r>
      <w:r>
        <w:rPr>
          <w:rFonts w:hint="eastAsia" w:ascii="楷体_GB2312" w:eastAsia="楷体_GB2312"/>
          <w:sz w:val="24"/>
        </w:rPr>
        <w:t>⑧</w:t>
      </w:r>
      <w:r>
        <w:rPr>
          <w:rFonts w:ascii="楷体_GB2312" w:eastAsia="楷体_GB2312"/>
          <w:sz w:val="24"/>
        </w:rPr>
        <w:fldChar w:fldCharType="end"/>
      </w:r>
      <w:r>
        <w:rPr>
          <w:rFonts w:hint="eastAsia" w:ascii="楷体_GB2312" w:eastAsia="楷体_GB2312"/>
          <w:sz w:val="24"/>
        </w:rPr>
        <w:t xml:space="preserve"> 投标人认为有必要提供的声明及文件。</w:t>
      </w:r>
    </w:p>
    <w:p>
      <w:pPr>
        <w:spacing w:line="470" w:lineRule="exact"/>
        <w:ind w:firstLine="422" w:firstLineChars="176"/>
        <w:rPr>
          <w:rFonts w:ascii="楷体_GB2312" w:eastAsia="楷体_GB2312"/>
          <w:sz w:val="24"/>
        </w:rPr>
      </w:pPr>
      <w:r>
        <w:rPr>
          <w:rFonts w:hint="eastAsia" w:ascii="楷体_GB2312" w:eastAsia="楷体_GB2312"/>
          <w:sz w:val="24"/>
        </w:rPr>
        <w:t>7、投标产品全国装机台量及主要用户名单。</w:t>
      </w:r>
    </w:p>
    <w:p>
      <w:pPr>
        <w:spacing w:line="480" w:lineRule="exact"/>
        <w:rPr>
          <w:rFonts w:ascii="楷体_GB2312" w:eastAsia="楷体_GB2312"/>
          <w:sz w:val="24"/>
        </w:rPr>
      </w:pPr>
      <w:r>
        <w:rPr>
          <w:rFonts w:hint="eastAsia" w:ascii="楷体_GB2312" w:eastAsia="楷体_GB2312"/>
          <w:sz w:val="24"/>
        </w:rPr>
        <w:t xml:space="preserve">4.2.2  </w:t>
      </w:r>
      <w:r>
        <w:rPr>
          <w:rFonts w:hint="eastAsia" w:ascii="楷体_GB2312" w:eastAsia="楷体_GB2312"/>
          <w:b/>
          <w:sz w:val="24"/>
        </w:rPr>
        <w:t>技术部份</w:t>
      </w:r>
      <w:r>
        <w:rPr>
          <w:rFonts w:hint="eastAsia" w:ascii="楷体_GB2312" w:eastAsia="楷体_GB2312"/>
          <w:sz w:val="24"/>
        </w:rPr>
        <w:t>应包括下列内容，并依下列装订顺序装订：</w:t>
      </w:r>
    </w:p>
    <w:p>
      <w:pPr>
        <w:spacing w:line="480" w:lineRule="exact"/>
        <w:ind w:firstLine="480" w:firstLineChars="200"/>
        <w:rPr>
          <w:rFonts w:hint="eastAsia" w:ascii="楷体_GB2312" w:eastAsia="楷体_GB2312"/>
          <w:b w:val="0"/>
          <w:bCs/>
          <w:sz w:val="24"/>
          <w:lang w:eastAsia="zh-CN"/>
        </w:rPr>
      </w:pPr>
      <w:r>
        <w:rPr>
          <w:rFonts w:hint="eastAsia" w:ascii="楷体_GB2312" w:eastAsia="楷体_GB2312"/>
          <w:b w:val="0"/>
          <w:bCs/>
          <w:sz w:val="24"/>
          <w:lang w:eastAsia="zh-CN"/>
        </w:rPr>
        <w:t>技术</w:t>
      </w:r>
      <w:r>
        <w:rPr>
          <w:rFonts w:hint="eastAsia" w:ascii="楷体_GB2312" w:eastAsia="楷体_GB2312"/>
          <w:b w:val="0"/>
          <w:bCs/>
          <w:sz w:val="24"/>
        </w:rPr>
        <w:t>团队介绍</w:t>
      </w:r>
      <w:r>
        <w:rPr>
          <w:rFonts w:hint="eastAsia" w:ascii="楷体_GB2312" w:eastAsia="楷体_GB2312"/>
          <w:b w:val="0"/>
          <w:bCs/>
          <w:sz w:val="24"/>
          <w:lang w:eastAsia="zh-CN"/>
        </w:rPr>
        <w:t>，</w:t>
      </w:r>
      <w:r>
        <w:rPr>
          <w:rFonts w:hint="eastAsia" w:ascii="楷体_GB2312" w:eastAsia="楷体_GB2312"/>
          <w:b w:val="0"/>
          <w:bCs/>
          <w:sz w:val="24"/>
        </w:rPr>
        <w:t>特色优势项目</w:t>
      </w:r>
      <w:r>
        <w:rPr>
          <w:rFonts w:hint="eastAsia" w:ascii="楷体_GB2312" w:eastAsia="楷体_GB2312"/>
          <w:b w:val="0"/>
          <w:bCs/>
          <w:sz w:val="24"/>
          <w:lang w:eastAsia="zh-CN"/>
        </w:rPr>
        <w:t>，质保和延保政策，培训支持体系等</w:t>
      </w:r>
    </w:p>
    <w:p>
      <w:pPr>
        <w:spacing w:line="480" w:lineRule="exact"/>
        <w:rPr>
          <w:rFonts w:ascii="楷体_GB2312" w:eastAsia="楷体_GB2312"/>
          <w:sz w:val="24"/>
        </w:rPr>
      </w:pPr>
      <w:r>
        <w:rPr>
          <w:rFonts w:hint="eastAsia" w:ascii="楷体_GB2312" w:eastAsia="楷体_GB2312"/>
          <w:sz w:val="24"/>
        </w:rPr>
        <w:t xml:space="preserve">4.2.3  </w:t>
      </w:r>
      <w:r>
        <w:rPr>
          <w:rFonts w:hint="eastAsia" w:ascii="楷体_GB2312" w:eastAsia="楷体_GB2312"/>
          <w:b/>
          <w:sz w:val="24"/>
        </w:rPr>
        <w:t>商务部份</w:t>
      </w:r>
      <w:r>
        <w:rPr>
          <w:rFonts w:hint="eastAsia" w:ascii="楷体_GB2312" w:eastAsia="楷体_GB2312"/>
          <w:sz w:val="24"/>
        </w:rPr>
        <w:t>应包括下列内容，并依下列装订顺序装订：</w:t>
      </w:r>
    </w:p>
    <w:p>
      <w:pPr>
        <w:spacing w:line="480" w:lineRule="exact"/>
        <w:rPr>
          <w:rFonts w:ascii="楷体_GB2312" w:eastAsia="楷体_GB2312"/>
          <w:b/>
          <w:sz w:val="24"/>
        </w:rPr>
      </w:pPr>
      <w:r>
        <w:rPr>
          <w:rFonts w:hint="eastAsia" w:ascii="楷体_GB2312" w:eastAsia="楷体_GB2312"/>
          <w:sz w:val="24"/>
        </w:rPr>
        <w:t xml:space="preserve">   </w:t>
      </w:r>
      <w:r>
        <w:rPr>
          <w:rFonts w:hint="eastAsia" w:ascii="楷体_GB2312" w:eastAsia="楷体_GB2312"/>
          <w:b/>
          <w:sz w:val="24"/>
        </w:rPr>
        <w:t xml:space="preserve"> 按附件</w:t>
      </w:r>
      <w:r>
        <w:rPr>
          <w:rFonts w:hint="eastAsia" w:ascii="楷体_GB2312" w:eastAsia="楷体_GB2312"/>
          <w:b/>
          <w:sz w:val="24"/>
          <w:lang w:val="en-US" w:eastAsia="zh-CN"/>
        </w:rPr>
        <w:t>2</w:t>
      </w:r>
      <w:r>
        <w:rPr>
          <w:rFonts w:hint="eastAsia" w:ascii="楷体_GB2312" w:eastAsia="楷体_GB2312"/>
          <w:b/>
          <w:sz w:val="24"/>
        </w:rPr>
        <w:t>内容填写。</w:t>
      </w:r>
    </w:p>
    <w:p>
      <w:pPr>
        <w:spacing w:line="480" w:lineRule="exact"/>
        <w:rPr>
          <w:rFonts w:ascii="楷体_GB2312" w:hAnsi="宋体" w:eastAsia="楷体_GB2312" w:cs="宋体"/>
          <w:kern w:val="0"/>
          <w:sz w:val="24"/>
        </w:rPr>
      </w:pPr>
      <w:r>
        <w:rPr>
          <w:rFonts w:hint="eastAsia" w:ascii="楷体_GB2312" w:eastAsia="楷体_GB2312"/>
          <w:sz w:val="24"/>
        </w:rPr>
        <w:t>4.2.4 竞标单位应使用本竞标文件提供的附表式样，表格可按后附样表扩展，没有附表的可以自拟。</w:t>
      </w:r>
    </w:p>
    <w:p>
      <w:pPr>
        <w:spacing w:line="480" w:lineRule="exact"/>
        <w:rPr>
          <w:rFonts w:ascii="楷体_GB2312" w:hAnsi="宋体" w:eastAsia="楷体_GB2312"/>
          <w:sz w:val="24"/>
        </w:rPr>
      </w:pPr>
      <w:r>
        <w:rPr>
          <w:rFonts w:hint="eastAsia" w:ascii="楷体_GB2312" w:eastAsia="楷体_GB2312"/>
          <w:sz w:val="24"/>
        </w:rPr>
        <w:t>4.2.5</w:t>
      </w:r>
      <w:r>
        <w:rPr>
          <w:rFonts w:hint="eastAsia" w:ascii="楷体_GB2312" w:hAnsi="宋体" w:eastAsia="楷体_GB2312"/>
          <w:sz w:val="24"/>
        </w:rPr>
        <w:t>竞标人在竞标过程中不能更名，其营业执照与资质证书必须一致。</w:t>
      </w:r>
    </w:p>
    <w:p>
      <w:pPr>
        <w:spacing w:line="480" w:lineRule="exact"/>
        <w:rPr>
          <w:rFonts w:ascii="楷体_GB2312" w:hAnsi="宋体" w:eastAsia="楷体_GB2312"/>
          <w:sz w:val="24"/>
        </w:rPr>
      </w:pPr>
      <w:r>
        <w:rPr>
          <w:rFonts w:hint="eastAsia" w:ascii="楷体_GB2312" w:eastAsia="楷体_GB2312"/>
          <w:sz w:val="24"/>
        </w:rPr>
        <w:t>4.2.6</w:t>
      </w:r>
      <w:r>
        <w:rPr>
          <w:rFonts w:hint="eastAsia" w:ascii="楷体_GB2312" w:hAnsi="宋体" w:eastAsia="楷体_GB2312"/>
          <w:sz w:val="24"/>
        </w:rPr>
        <w:t>法人代表亲自到场也要有法人授权委托书。</w:t>
      </w:r>
    </w:p>
    <w:p>
      <w:pPr>
        <w:spacing w:line="480" w:lineRule="exact"/>
        <w:rPr>
          <w:rFonts w:ascii="楷体_GB2312" w:eastAsia="楷体_GB2312"/>
          <w:sz w:val="24"/>
        </w:rPr>
      </w:pPr>
      <w:r>
        <w:rPr>
          <w:rFonts w:hint="eastAsia" w:ascii="楷体_GB2312" w:eastAsia="楷体_GB2312"/>
          <w:sz w:val="24"/>
        </w:rPr>
        <w:t>4.</w:t>
      </w:r>
      <w:r>
        <w:rPr>
          <w:rFonts w:hint="eastAsia" w:ascii="楷体_GB2312" w:eastAsia="楷体_GB2312"/>
          <w:sz w:val="24"/>
          <w:lang w:val="en-US" w:eastAsia="zh-CN"/>
        </w:rPr>
        <w:t>3</w:t>
      </w:r>
      <w:r>
        <w:rPr>
          <w:rFonts w:hint="eastAsia" w:ascii="楷体_GB2312" w:eastAsia="楷体_GB2312"/>
          <w:sz w:val="24"/>
        </w:rPr>
        <w:t>竞标有效期：开标后</w:t>
      </w:r>
      <w:r>
        <w:rPr>
          <w:rFonts w:hint="eastAsia" w:ascii="楷体_GB2312" w:eastAsia="楷体_GB2312"/>
          <w:sz w:val="24"/>
          <w:u w:val="single"/>
        </w:rPr>
        <w:t xml:space="preserve"> </w:t>
      </w:r>
      <w:r>
        <w:rPr>
          <w:rFonts w:hint="eastAsia" w:ascii="楷体_GB2312" w:eastAsia="楷体_GB2312"/>
          <w:sz w:val="24"/>
          <w:highlight w:val="yellow"/>
          <w:u w:val="single"/>
        </w:rPr>
        <w:t>60</w:t>
      </w:r>
      <w:r>
        <w:rPr>
          <w:rFonts w:hint="eastAsia" w:ascii="楷体_GB2312" w:eastAsia="楷体_GB2312"/>
          <w:sz w:val="24"/>
        </w:rPr>
        <w:t>天。</w:t>
      </w:r>
    </w:p>
    <w:p>
      <w:pPr>
        <w:spacing w:line="480" w:lineRule="exact"/>
        <w:rPr>
          <w:rFonts w:ascii="楷体_GB2312" w:eastAsia="楷体_GB2312"/>
          <w:sz w:val="24"/>
        </w:rPr>
      </w:pPr>
      <w:r>
        <w:rPr>
          <w:rFonts w:hint="eastAsia" w:ascii="楷体_GB2312" w:eastAsia="楷体_GB2312"/>
          <w:sz w:val="24"/>
        </w:rPr>
        <w:t>4.</w:t>
      </w:r>
      <w:r>
        <w:rPr>
          <w:rFonts w:hint="eastAsia" w:ascii="楷体_GB2312" w:eastAsia="楷体_GB2312"/>
          <w:sz w:val="24"/>
          <w:lang w:val="en-US" w:eastAsia="zh-CN"/>
        </w:rPr>
        <w:t>4</w:t>
      </w:r>
      <w:r>
        <w:rPr>
          <w:rFonts w:hint="eastAsia" w:ascii="楷体_GB2312" w:eastAsia="楷体_GB2312"/>
          <w:sz w:val="24"/>
        </w:rPr>
        <w:t>竞标文件的份数与签署。</w:t>
      </w:r>
    </w:p>
    <w:p>
      <w:pPr>
        <w:spacing w:line="480" w:lineRule="exact"/>
        <w:rPr>
          <w:rFonts w:ascii="楷体_GB2312" w:eastAsia="楷体_GB2312"/>
          <w:b/>
          <w:color w:val="FF0000"/>
          <w:sz w:val="24"/>
        </w:rPr>
      </w:pPr>
      <w:r>
        <w:rPr>
          <w:rFonts w:hint="eastAsia" w:ascii="楷体_GB2312" w:eastAsia="楷体_GB2312"/>
          <w:color w:val="FF0000"/>
          <w:sz w:val="24"/>
        </w:rPr>
        <w:t xml:space="preserve">4.5.1 </w:t>
      </w:r>
      <w:r>
        <w:rPr>
          <w:rFonts w:hint="eastAsia" w:ascii="楷体_GB2312" w:eastAsia="楷体_GB2312"/>
          <w:b/>
          <w:color w:val="FF0000"/>
          <w:sz w:val="24"/>
        </w:rPr>
        <w:t>资质部份：纸质正本一份</w:t>
      </w:r>
      <w:r>
        <w:rPr>
          <w:rFonts w:hint="eastAsia" w:ascii="楷体_GB2312" w:eastAsia="楷体_GB2312"/>
          <w:b/>
          <w:color w:val="FF0000"/>
          <w:sz w:val="24"/>
          <w:lang w:eastAsia="zh-CN"/>
        </w:rPr>
        <w:t>，</w:t>
      </w:r>
      <w:r>
        <w:rPr>
          <w:rFonts w:hint="eastAsia" w:ascii="楷体_GB2312" w:eastAsia="楷体_GB2312"/>
          <w:b/>
          <w:color w:val="FF0000"/>
          <w:sz w:val="24"/>
        </w:rPr>
        <w:t>电子档扫描件一份（应保证字迹及印章清晰）。</w:t>
      </w:r>
    </w:p>
    <w:p>
      <w:pPr>
        <w:spacing w:line="480" w:lineRule="exact"/>
        <w:rPr>
          <w:rFonts w:ascii="楷体_GB2312" w:eastAsia="楷体_GB2312"/>
          <w:b/>
          <w:color w:val="FF0000"/>
          <w:sz w:val="24"/>
        </w:rPr>
      </w:pPr>
      <w:r>
        <w:rPr>
          <w:rFonts w:hint="eastAsia" w:ascii="楷体_GB2312" w:eastAsia="楷体_GB2312"/>
          <w:b/>
          <w:color w:val="FF0000"/>
          <w:sz w:val="24"/>
        </w:rPr>
        <w:t xml:space="preserve">      技术部份：纸质正本一份，电子档一份。（内容一致）</w:t>
      </w:r>
    </w:p>
    <w:p>
      <w:pPr>
        <w:spacing w:line="480" w:lineRule="exact"/>
        <w:rPr>
          <w:rFonts w:hint="eastAsia" w:ascii="楷体_GB2312" w:eastAsia="楷体_GB2312"/>
          <w:b/>
          <w:color w:val="FF0000"/>
          <w:sz w:val="24"/>
        </w:rPr>
      </w:pPr>
      <w:r>
        <w:rPr>
          <w:rFonts w:hint="eastAsia" w:ascii="楷体_GB2312" w:eastAsia="楷体_GB2312"/>
          <w:b/>
          <w:color w:val="FF0000"/>
          <w:sz w:val="24"/>
        </w:rPr>
        <w:t xml:space="preserve">      商务部份：纸质正本一份，电子档一份。（内容一致）</w:t>
      </w:r>
    </w:p>
    <w:p>
      <w:pPr>
        <w:spacing w:line="480" w:lineRule="exact"/>
        <w:rPr>
          <w:rFonts w:ascii="楷体_GB2312" w:eastAsia="楷体_GB2312"/>
          <w:sz w:val="24"/>
        </w:rPr>
      </w:pPr>
      <w:r>
        <w:rPr>
          <w:rFonts w:hint="eastAsia" w:ascii="楷体_GB2312" w:eastAsia="楷体_GB2312"/>
          <w:sz w:val="24"/>
        </w:rPr>
        <w:t>4.5.2竞标文件的</w:t>
      </w:r>
      <w:bookmarkStart w:id="0" w:name="_GoBack"/>
      <w:bookmarkEnd w:id="0"/>
      <w:r>
        <w:rPr>
          <w:rFonts w:hint="eastAsia" w:ascii="楷体_GB2312" w:eastAsia="楷体_GB2312"/>
          <w:sz w:val="24"/>
          <w:highlight w:val="yellow"/>
          <w:lang w:val="en-US" w:eastAsia="zh-CN"/>
        </w:rPr>
        <w:t>6份</w:t>
      </w:r>
      <w:r>
        <w:rPr>
          <w:rFonts w:hint="eastAsia" w:ascii="楷体_GB2312" w:eastAsia="楷体_GB2312"/>
          <w:sz w:val="24"/>
        </w:rPr>
        <w:t>副本均应打印，并加盖法人单位公章和法定代表人印签。</w:t>
      </w:r>
    </w:p>
    <w:p>
      <w:pPr>
        <w:spacing w:line="460" w:lineRule="exact"/>
        <w:rPr>
          <w:rFonts w:ascii="楷体_GB2312" w:eastAsia="楷体_GB2312"/>
          <w:sz w:val="24"/>
        </w:rPr>
      </w:pPr>
      <w:r>
        <w:rPr>
          <w:rFonts w:hint="eastAsia" w:ascii="楷体_GB2312" w:eastAsia="楷体_GB2312"/>
          <w:sz w:val="24"/>
        </w:rPr>
        <w:t>4.5.3全套竞标文件应无涂改和行间插字，除非这些删改是根据邀请单位要求进行的，或者是竞标单位造成的必须修改的错误，但修改处应由竞标文件签署人签字证明并加盖印鉴。</w:t>
      </w:r>
    </w:p>
    <w:p>
      <w:pPr>
        <w:spacing w:line="460" w:lineRule="exact"/>
        <w:rPr>
          <w:rFonts w:ascii="楷体_GB2312" w:eastAsia="楷体_GB2312"/>
          <w:sz w:val="24"/>
        </w:rPr>
      </w:pPr>
    </w:p>
    <w:p>
      <w:pPr>
        <w:spacing w:line="480" w:lineRule="exact"/>
        <w:jc w:val="center"/>
        <w:rPr>
          <w:rFonts w:ascii="楷体_GB2312" w:eastAsia="楷体_GB2312"/>
          <w:b/>
          <w:sz w:val="28"/>
          <w:szCs w:val="28"/>
        </w:rPr>
      </w:pPr>
      <w:r>
        <w:rPr>
          <w:rFonts w:hint="eastAsia" w:ascii="楷体_GB2312" w:eastAsia="楷体_GB2312"/>
          <w:b/>
          <w:sz w:val="28"/>
          <w:szCs w:val="28"/>
        </w:rPr>
        <w:t>第五章  竞标文件的递交</w:t>
      </w:r>
    </w:p>
    <w:p>
      <w:pPr>
        <w:spacing w:line="480" w:lineRule="exact"/>
        <w:rPr>
          <w:rFonts w:ascii="楷体_GB2312" w:eastAsia="楷体_GB2312"/>
          <w:sz w:val="24"/>
        </w:rPr>
      </w:pPr>
    </w:p>
    <w:p>
      <w:pPr>
        <w:spacing w:line="480" w:lineRule="exact"/>
        <w:rPr>
          <w:rFonts w:ascii="楷体_GB2312" w:eastAsia="楷体_GB2312"/>
          <w:sz w:val="24"/>
        </w:rPr>
      </w:pPr>
      <w:r>
        <w:rPr>
          <w:rFonts w:hint="eastAsia" w:ascii="楷体_GB2312" w:eastAsia="楷体_GB2312"/>
          <w:sz w:val="24"/>
        </w:rPr>
        <w:t>5.1竞标文件的密封与标志</w:t>
      </w:r>
    </w:p>
    <w:p>
      <w:pPr>
        <w:spacing w:line="480" w:lineRule="exact"/>
        <w:rPr>
          <w:rFonts w:ascii="楷体_GB2312" w:eastAsia="楷体_GB2312"/>
          <w:sz w:val="24"/>
        </w:rPr>
      </w:pPr>
      <w:r>
        <w:rPr>
          <w:rFonts w:hint="eastAsia" w:ascii="楷体_GB2312" w:eastAsia="楷体_GB2312"/>
          <w:sz w:val="24"/>
        </w:rPr>
        <w:t>5.1.1竞标单位应将资格证明文件、技术投标书及商务报价</w:t>
      </w:r>
      <w:r>
        <w:rPr>
          <w:rFonts w:hint="eastAsia" w:ascii="楷体_GB2312" w:eastAsia="楷体_GB2312"/>
          <w:b/>
          <w:sz w:val="24"/>
        </w:rPr>
        <w:t>分装在A、B、C三个文件袋</w:t>
      </w:r>
      <w:r>
        <w:rPr>
          <w:rFonts w:hint="eastAsia" w:ascii="楷体_GB2312" w:eastAsia="楷体_GB2312"/>
          <w:sz w:val="24"/>
        </w:rPr>
        <w:t>，</w:t>
      </w:r>
      <w:r>
        <w:rPr>
          <w:rFonts w:hint="eastAsia" w:ascii="楷体_GB2312" w:eastAsia="楷体_GB2312"/>
          <w:b/>
          <w:sz w:val="24"/>
        </w:rPr>
        <w:t>密封包装并在文件袋正面贴上标识</w:t>
      </w:r>
      <w:r>
        <w:rPr>
          <w:rFonts w:hint="eastAsia" w:ascii="楷体_GB2312" w:eastAsia="楷体_GB2312"/>
          <w:sz w:val="24"/>
        </w:rPr>
        <w:t>。</w:t>
      </w:r>
    </w:p>
    <w:p>
      <w:pPr>
        <w:spacing w:line="480" w:lineRule="exact"/>
        <w:rPr>
          <w:rFonts w:ascii="楷体_GB2312" w:eastAsia="楷体_GB2312"/>
          <w:sz w:val="24"/>
        </w:rPr>
      </w:pPr>
      <w:r>
        <w:rPr>
          <w:rFonts w:hint="eastAsia" w:ascii="楷体_GB2312" w:eastAsia="楷体_GB2312"/>
          <w:sz w:val="24"/>
        </w:rPr>
        <w:t>5.1.2包封应写明邀请、竞标单位名称和地址，包封骑缝加盖竞标单位公章，并注明开标时间以前不得开封，以便竞标出现逾期送达时能原封返回。</w:t>
      </w:r>
    </w:p>
    <w:p>
      <w:pPr>
        <w:spacing w:line="480" w:lineRule="exact"/>
        <w:rPr>
          <w:rFonts w:ascii="楷体_GB2312" w:eastAsia="楷体_GB2312"/>
          <w:sz w:val="24"/>
        </w:rPr>
      </w:pPr>
      <w:r>
        <w:rPr>
          <w:rFonts w:hint="eastAsia" w:ascii="楷体_GB2312" w:eastAsia="楷体_GB2312"/>
          <w:sz w:val="24"/>
        </w:rPr>
        <w:t>5.1.3如竞标单位未按上述规定密封，并加写标志，邀请单位将不承担竞标文件错放或提前开封的责任，由此造成的一切后果由竞标单位承担。</w:t>
      </w:r>
    </w:p>
    <w:p>
      <w:pPr>
        <w:spacing w:line="480" w:lineRule="exact"/>
        <w:rPr>
          <w:rFonts w:ascii="楷体_GB2312" w:eastAsia="楷体_GB2312"/>
          <w:sz w:val="24"/>
        </w:rPr>
      </w:pPr>
      <w:r>
        <w:rPr>
          <w:rFonts w:hint="eastAsia" w:ascii="楷体_GB2312" w:eastAsia="楷体_GB2312"/>
          <w:sz w:val="24"/>
          <w:highlight w:val="yellow"/>
        </w:rPr>
        <w:t>5.1.4</w:t>
      </w:r>
      <w:r>
        <w:rPr>
          <w:rFonts w:hint="eastAsia" w:ascii="楷体_GB2312" w:eastAsia="楷体_GB2312"/>
          <w:b/>
          <w:sz w:val="24"/>
          <w:highlight w:val="yellow"/>
        </w:rPr>
        <w:t>竞标单位应于</w:t>
      </w:r>
      <w:r>
        <w:rPr>
          <w:rFonts w:ascii="楷体_GB2312" w:eastAsia="楷体_GB2312"/>
          <w:b/>
          <w:color w:val="auto"/>
          <w:sz w:val="24"/>
          <w:highlight w:val="yellow"/>
          <w:u w:val="single"/>
        </w:rPr>
        <w:t xml:space="preserve"> </w:t>
      </w:r>
      <w:r>
        <w:rPr>
          <w:rFonts w:hint="eastAsia" w:ascii="楷体_GB2312" w:eastAsia="楷体_GB2312"/>
          <w:b/>
          <w:color w:val="auto"/>
          <w:sz w:val="24"/>
          <w:highlight w:val="yellow"/>
          <w:u w:val="single"/>
          <w:lang w:val="en-US" w:eastAsia="zh-CN"/>
        </w:rPr>
        <w:t>2021</w:t>
      </w:r>
      <w:r>
        <w:rPr>
          <w:rFonts w:hint="eastAsia" w:ascii="楷体_GB2312" w:eastAsia="楷体_GB2312"/>
          <w:b/>
          <w:color w:val="auto"/>
          <w:sz w:val="24"/>
          <w:highlight w:val="yellow"/>
          <w:u w:val="single"/>
        </w:rPr>
        <w:t>年</w:t>
      </w:r>
      <w:r>
        <w:rPr>
          <w:rFonts w:hint="eastAsia" w:ascii="楷体_GB2312" w:eastAsia="楷体_GB2312"/>
          <w:b/>
          <w:color w:val="auto"/>
          <w:sz w:val="24"/>
          <w:highlight w:val="yellow"/>
          <w:u w:val="single"/>
          <w:lang w:val="en-US" w:eastAsia="zh-CN"/>
        </w:rPr>
        <w:t>05月08</w:t>
      </w:r>
      <w:r>
        <w:rPr>
          <w:rFonts w:hint="eastAsia" w:ascii="楷体_GB2312" w:eastAsia="楷体_GB2312"/>
          <w:b/>
          <w:color w:val="auto"/>
          <w:sz w:val="24"/>
          <w:highlight w:val="yellow"/>
          <w:u w:val="single"/>
        </w:rPr>
        <w:t>日</w:t>
      </w:r>
      <w:r>
        <w:rPr>
          <w:rFonts w:ascii="楷体_GB2312" w:eastAsia="楷体_GB2312"/>
          <w:b/>
          <w:color w:val="auto"/>
          <w:sz w:val="24"/>
          <w:highlight w:val="yellow"/>
          <w:u w:val="single"/>
        </w:rPr>
        <w:t xml:space="preserve"> </w:t>
      </w:r>
      <w:r>
        <w:rPr>
          <w:rFonts w:ascii="楷体_GB2312" w:eastAsia="楷体_GB2312"/>
          <w:b/>
          <w:color w:val="0070C0"/>
          <w:sz w:val="24"/>
          <w:highlight w:val="yellow"/>
          <w:u w:val="single"/>
        </w:rPr>
        <w:t xml:space="preserve"> </w:t>
      </w:r>
      <w:r>
        <w:rPr>
          <w:rFonts w:hint="eastAsia" w:ascii="楷体_GB2312" w:eastAsia="楷体_GB2312"/>
          <w:b/>
          <w:sz w:val="24"/>
          <w:highlight w:val="yellow"/>
          <w:lang w:eastAsia="zh-CN"/>
        </w:rPr>
        <w:t>前邮寄</w:t>
      </w:r>
      <w:r>
        <w:rPr>
          <w:rFonts w:hint="eastAsia" w:ascii="楷体_GB2312" w:eastAsia="楷体_GB2312"/>
          <w:b/>
          <w:sz w:val="24"/>
          <w:highlight w:val="yellow"/>
        </w:rPr>
        <w:t>纸质版标书</w:t>
      </w:r>
      <w:r>
        <w:rPr>
          <w:rFonts w:hint="eastAsia" w:ascii="楷体_GB2312" w:eastAsia="楷体_GB2312"/>
          <w:b/>
          <w:sz w:val="24"/>
          <w:highlight w:val="yellow"/>
          <w:lang w:eastAsia="zh-CN"/>
        </w:rPr>
        <w:t>至地址：</w:t>
      </w:r>
      <w:r>
        <w:rPr>
          <w:rFonts w:hint="eastAsia" w:ascii="楷体_GB2312" w:eastAsia="楷体_GB2312"/>
          <w:b/>
          <w:sz w:val="24"/>
          <w:highlight w:val="yellow"/>
          <w:u w:val="single"/>
          <w:lang w:eastAsia="zh-CN"/>
        </w:rPr>
        <w:t>深圳市宝安区西乡街道凤凰社区水库路111星宏科技园五金大楼5层</w:t>
      </w:r>
      <w:r>
        <w:rPr>
          <w:rFonts w:hint="eastAsia" w:ascii="楷体_GB2312" w:eastAsia="楷体_GB2312"/>
          <w:b/>
          <w:sz w:val="24"/>
          <w:highlight w:val="yellow"/>
          <w:u w:val="single"/>
          <w:lang w:val="en-US" w:eastAsia="zh-CN"/>
        </w:rPr>
        <w:t xml:space="preserve"> 1314 8874 923  郭爱贞收</w:t>
      </w:r>
      <w:r>
        <w:rPr>
          <w:rFonts w:hint="eastAsia" w:ascii="楷体_GB2312" w:eastAsia="楷体_GB2312"/>
          <w:b/>
          <w:sz w:val="24"/>
          <w:highlight w:val="yellow"/>
        </w:rPr>
        <w:t>，超过截止时间邀请方将予以拒收。</w:t>
      </w:r>
    </w:p>
    <w:p>
      <w:pPr>
        <w:spacing w:line="480" w:lineRule="exact"/>
        <w:rPr>
          <w:rFonts w:ascii="楷体_GB2312" w:eastAsia="楷体_GB2312"/>
          <w:b/>
          <w:sz w:val="24"/>
        </w:rPr>
      </w:pPr>
    </w:p>
    <w:p>
      <w:pPr>
        <w:spacing w:line="480" w:lineRule="exact"/>
        <w:jc w:val="center"/>
        <w:rPr>
          <w:rFonts w:ascii="楷体_GB2312" w:eastAsia="楷体_GB2312"/>
          <w:b/>
          <w:sz w:val="28"/>
          <w:szCs w:val="28"/>
        </w:rPr>
      </w:pPr>
      <w:r>
        <w:rPr>
          <w:rFonts w:hint="eastAsia" w:ascii="楷体_GB2312" w:eastAsia="楷体_GB2312"/>
          <w:b/>
          <w:sz w:val="28"/>
          <w:szCs w:val="28"/>
        </w:rPr>
        <w:t>第六章  开标与评标</w:t>
      </w:r>
    </w:p>
    <w:p>
      <w:pPr>
        <w:spacing w:line="480" w:lineRule="exact"/>
        <w:rPr>
          <w:rFonts w:ascii="楷体_GB2312" w:eastAsia="楷体_GB2312"/>
          <w:sz w:val="24"/>
        </w:rPr>
      </w:pPr>
    </w:p>
    <w:p>
      <w:pPr>
        <w:spacing w:line="480" w:lineRule="exact"/>
        <w:rPr>
          <w:rFonts w:ascii="楷体_GB2312" w:eastAsia="楷体_GB2312"/>
          <w:sz w:val="24"/>
        </w:rPr>
      </w:pPr>
      <w:r>
        <w:rPr>
          <w:rFonts w:hint="eastAsia" w:ascii="楷体_GB2312" w:eastAsia="楷体_GB2312"/>
          <w:sz w:val="24"/>
        </w:rPr>
        <w:t>6.1开标时间地点详见第一章竞标公告，参加开标的竞标单位代表应签名报到，以证明其出席开标会议。</w:t>
      </w:r>
    </w:p>
    <w:p>
      <w:pPr>
        <w:spacing w:line="480" w:lineRule="exact"/>
        <w:rPr>
          <w:rFonts w:ascii="楷体_GB2312" w:eastAsia="楷体_GB2312"/>
          <w:b/>
          <w:sz w:val="24"/>
        </w:rPr>
      </w:pPr>
      <w:r>
        <w:rPr>
          <w:rFonts w:hint="eastAsia" w:ascii="楷体_GB2312" w:eastAsia="楷体_GB2312"/>
          <w:b/>
          <w:sz w:val="24"/>
        </w:rPr>
        <w:t>6.2为提高效率，节省投标方与招标方的时间，本次招标的产品在同一时间统一开标，各竞标单位按邀标方指定顺序分别现场议标。投标方须准备PPT进行产品介绍（</w:t>
      </w:r>
      <w:r>
        <w:rPr>
          <w:rFonts w:hint="eastAsia" w:ascii="楷体_GB2312" w:eastAsia="楷体_GB2312"/>
          <w:b/>
          <w:color w:val="FF0000"/>
          <w:sz w:val="24"/>
        </w:rPr>
        <w:t>每类产品不超过10分钟，PPT8张以内，仅说明设备优势、特点即可</w:t>
      </w:r>
      <w:r>
        <w:rPr>
          <w:rFonts w:hint="eastAsia" w:ascii="楷体_GB2312" w:eastAsia="楷体_GB2312"/>
          <w:b/>
          <w:sz w:val="24"/>
        </w:rPr>
        <w:t>）。</w:t>
      </w:r>
    </w:p>
    <w:p>
      <w:pPr>
        <w:spacing w:line="480" w:lineRule="exact"/>
        <w:rPr>
          <w:rFonts w:ascii="楷体_GB2312" w:eastAsia="楷体_GB2312"/>
          <w:sz w:val="24"/>
        </w:rPr>
      </w:pPr>
      <w:r>
        <w:rPr>
          <w:rFonts w:hint="eastAsia" w:ascii="楷体_GB2312" w:eastAsia="楷体_GB2312"/>
          <w:sz w:val="24"/>
        </w:rPr>
        <w:t>6.3对竞标文件的初审和响应性的确定</w:t>
      </w:r>
    </w:p>
    <w:p>
      <w:pPr>
        <w:spacing w:line="480" w:lineRule="exact"/>
        <w:rPr>
          <w:rFonts w:ascii="楷体_GB2312" w:eastAsia="楷体_GB2312"/>
          <w:sz w:val="24"/>
        </w:rPr>
      </w:pPr>
      <w:r>
        <w:rPr>
          <w:rFonts w:hint="eastAsia" w:ascii="楷体_GB2312" w:eastAsia="楷体_GB2312"/>
          <w:sz w:val="24"/>
        </w:rPr>
        <w:t>6.3.1开标后，邀请方将组织审查竞标文件是否完整，是否有计算错误，要求的保证金是否已提供，文件是否恰当签署。如文字与图表不符以文字为准，单价与总价不符以单价为准，大写与小写不符以大写为准。若竞标方拒绝接受上述修正，其竞标将被拒绝。</w:t>
      </w:r>
    </w:p>
    <w:p>
      <w:pPr>
        <w:spacing w:line="480" w:lineRule="exact"/>
        <w:rPr>
          <w:rFonts w:ascii="楷体_GB2312" w:eastAsia="楷体_GB2312"/>
          <w:sz w:val="24"/>
        </w:rPr>
      </w:pPr>
      <w:r>
        <w:rPr>
          <w:rFonts w:hint="eastAsia" w:ascii="楷体_GB2312" w:eastAsia="楷体_GB2312"/>
          <w:sz w:val="24"/>
        </w:rPr>
        <w:t>6.3.2对竞标单位进行详细评估之前，邀请单位将依据竞标方提供的资格证明文件审查竞标方的财务、技术和研发能力。如果确定竞标方无资格履行合同，其竞标将被拒绝。</w:t>
      </w:r>
    </w:p>
    <w:p>
      <w:pPr>
        <w:spacing w:line="480" w:lineRule="exact"/>
        <w:rPr>
          <w:rFonts w:ascii="楷体_GB2312" w:eastAsia="楷体_GB2312"/>
          <w:sz w:val="24"/>
        </w:rPr>
      </w:pPr>
      <w:r>
        <w:rPr>
          <w:rFonts w:hint="eastAsia" w:ascii="楷体_GB2312" w:eastAsia="楷体_GB2312"/>
          <w:sz w:val="24"/>
        </w:rPr>
        <w:t>6.3.3邀请方将确定每一竞标是否以竞标文件的要求做出了实质的响应，而没有重大偏离。实质性响应的竞标是指竞标符合竞标文件的所有条款、条件和规定，且没有重大偏离或保留。重大偏离或保留系指影响到竞标文件规定的范围、质量和性能或限制了邀请方的权力和竞标方的义务的规定，而纠正这些偏离将影响到其它提交实质性响应竞标的竞标方的公平竞争地位。</w:t>
      </w:r>
    </w:p>
    <w:p>
      <w:pPr>
        <w:spacing w:line="480" w:lineRule="exact"/>
        <w:rPr>
          <w:rFonts w:ascii="楷体_GB2312" w:eastAsia="楷体_GB2312"/>
          <w:sz w:val="24"/>
        </w:rPr>
      </w:pPr>
      <w:r>
        <w:rPr>
          <w:rFonts w:hint="eastAsia" w:ascii="楷体_GB2312" w:eastAsia="楷体_GB2312"/>
          <w:sz w:val="24"/>
        </w:rPr>
        <w:t>6.3.4邀请方判断竞标文件的响应性，仅基于竞标文件本身而不靠外部证据。</w:t>
      </w:r>
    </w:p>
    <w:p>
      <w:pPr>
        <w:spacing w:line="480" w:lineRule="exact"/>
        <w:rPr>
          <w:rFonts w:ascii="楷体_GB2312" w:eastAsia="楷体_GB2312"/>
          <w:sz w:val="24"/>
        </w:rPr>
      </w:pPr>
      <w:r>
        <w:rPr>
          <w:rFonts w:hint="eastAsia" w:ascii="楷体_GB2312" w:eastAsia="楷体_GB2312"/>
          <w:sz w:val="24"/>
        </w:rPr>
        <w:t>6.3.5邀请方将拒绝被确定为非实质性响应的竞标，竞标方不能通过修正或撤销不符合之处而使其竞标成为实质性响应竞标。</w:t>
      </w:r>
    </w:p>
    <w:p>
      <w:pPr>
        <w:spacing w:line="480" w:lineRule="exact"/>
        <w:rPr>
          <w:rFonts w:ascii="楷体_GB2312" w:eastAsia="楷体_GB2312"/>
          <w:sz w:val="24"/>
        </w:rPr>
      </w:pPr>
      <w:r>
        <w:rPr>
          <w:rFonts w:hint="eastAsia" w:ascii="楷体_GB2312" w:eastAsia="楷体_GB2312"/>
          <w:sz w:val="24"/>
        </w:rPr>
        <w:t>6.4有下列情况之一者，竞标书无效。</w:t>
      </w:r>
    </w:p>
    <w:p>
      <w:pPr>
        <w:numPr>
          <w:ilvl w:val="0"/>
          <w:numId w:val="2"/>
        </w:numPr>
        <w:spacing w:line="480" w:lineRule="exact"/>
        <w:rPr>
          <w:rFonts w:ascii="楷体_GB2312" w:eastAsia="楷体_GB2312"/>
          <w:sz w:val="24"/>
        </w:rPr>
      </w:pPr>
      <w:r>
        <w:rPr>
          <w:rFonts w:hint="eastAsia" w:ascii="楷体_GB2312" w:eastAsia="楷体_GB2312"/>
          <w:sz w:val="24"/>
        </w:rPr>
        <w:t>竞标文件未按规定标志密封；</w:t>
      </w:r>
    </w:p>
    <w:p>
      <w:pPr>
        <w:numPr>
          <w:ilvl w:val="0"/>
          <w:numId w:val="2"/>
        </w:numPr>
        <w:spacing w:line="480" w:lineRule="exact"/>
        <w:rPr>
          <w:rFonts w:ascii="楷体_GB2312" w:eastAsia="楷体_GB2312"/>
          <w:sz w:val="24"/>
        </w:rPr>
      </w:pPr>
      <w:r>
        <w:rPr>
          <w:rFonts w:hint="eastAsia" w:ascii="楷体_GB2312" w:eastAsia="楷体_GB2312"/>
          <w:sz w:val="24"/>
        </w:rPr>
        <w:t>竞标时未按竞标文件的要求提供承诺书；</w:t>
      </w:r>
    </w:p>
    <w:p>
      <w:pPr>
        <w:numPr>
          <w:ilvl w:val="0"/>
          <w:numId w:val="2"/>
        </w:numPr>
        <w:spacing w:line="480" w:lineRule="exact"/>
        <w:rPr>
          <w:rFonts w:ascii="楷体_GB2312" w:eastAsia="楷体_GB2312"/>
          <w:sz w:val="24"/>
        </w:rPr>
      </w:pPr>
      <w:r>
        <w:rPr>
          <w:rFonts w:hint="eastAsia" w:ascii="楷体_GB2312" w:eastAsia="楷体_GB2312"/>
          <w:sz w:val="24"/>
        </w:rPr>
        <w:t>未经法定代表人签署或未盖竞标单位公章或未盖法定代表人印鉴；</w:t>
      </w:r>
    </w:p>
    <w:p>
      <w:pPr>
        <w:numPr>
          <w:ilvl w:val="0"/>
          <w:numId w:val="2"/>
        </w:numPr>
        <w:spacing w:line="480" w:lineRule="exact"/>
        <w:rPr>
          <w:rFonts w:ascii="楷体_GB2312" w:eastAsia="楷体_GB2312"/>
          <w:sz w:val="24"/>
        </w:rPr>
      </w:pPr>
      <w:r>
        <w:rPr>
          <w:rFonts w:hint="eastAsia" w:ascii="楷体_GB2312" w:eastAsia="楷体_GB2312"/>
          <w:sz w:val="24"/>
        </w:rPr>
        <w:t>未按规定格式填写、内容不全或字迹模糊、辨认不清的；</w:t>
      </w:r>
    </w:p>
    <w:p>
      <w:pPr>
        <w:numPr>
          <w:ilvl w:val="0"/>
          <w:numId w:val="2"/>
        </w:numPr>
        <w:tabs>
          <w:tab w:val="left" w:pos="1440"/>
          <w:tab w:val="left" w:pos="1800"/>
        </w:tabs>
        <w:spacing w:line="480" w:lineRule="exact"/>
        <w:rPr>
          <w:rFonts w:ascii="楷体_GB2312" w:eastAsia="楷体_GB2312"/>
          <w:sz w:val="24"/>
        </w:rPr>
      </w:pPr>
      <w:r>
        <w:rPr>
          <w:rFonts w:hint="eastAsia" w:ascii="楷体_GB2312" w:eastAsia="楷体_GB2312"/>
          <w:sz w:val="24"/>
        </w:rPr>
        <w:t>按规定应提供相关资料文件不全的；</w:t>
      </w:r>
    </w:p>
    <w:p>
      <w:pPr>
        <w:numPr>
          <w:ilvl w:val="0"/>
          <w:numId w:val="2"/>
        </w:numPr>
        <w:spacing w:line="480" w:lineRule="exact"/>
        <w:rPr>
          <w:rFonts w:ascii="楷体_GB2312" w:eastAsia="楷体_GB2312"/>
          <w:sz w:val="24"/>
        </w:rPr>
      </w:pPr>
      <w:r>
        <w:rPr>
          <w:rFonts w:hint="eastAsia" w:ascii="楷体_GB2312" w:eastAsia="楷体_GB2312"/>
          <w:sz w:val="24"/>
        </w:rPr>
        <w:t>竞标企业法人代表未参加会议，又无指定代理人（以法定代表人授权书为准）或虽参加开标会议，但无证件者；</w:t>
      </w:r>
    </w:p>
    <w:p>
      <w:pPr>
        <w:numPr>
          <w:ilvl w:val="0"/>
          <w:numId w:val="2"/>
        </w:numPr>
        <w:spacing w:line="480" w:lineRule="exact"/>
        <w:rPr>
          <w:rFonts w:ascii="楷体_GB2312" w:eastAsia="楷体_GB2312"/>
          <w:sz w:val="24"/>
        </w:rPr>
      </w:pPr>
      <w:r>
        <w:rPr>
          <w:rFonts w:hint="eastAsia" w:ascii="楷体_GB2312" w:eastAsia="楷体_GB2312"/>
          <w:sz w:val="24"/>
        </w:rPr>
        <w:t>竞标企业项目经理或技术负责人未能到场参会；</w:t>
      </w:r>
    </w:p>
    <w:p>
      <w:pPr>
        <w:numPr>
          <w:ilvl w:val="0"/>
          <w:numId w:val="2"/>
        </w:numPr>
        <w:tabs>
          <w:tab w:val="left" w:pos="1440"/>
        </w:tabs>
        <w:spacing w:line="480" w:lineRule="exact"/>
        <w:rPr>
          <w:rFonts w:ascii="楷体_GB2312" w:eastAsia="楷体_GB2312"/>
          <w:sz w:val="24"/>
        </w:rPr>
      </w:pPr>
      <w:r>
        <w:rPr>
          <w:rFonts w:hint="eastAsia" w:ascii="楷体_GB2312" w:eastAsia="楷体_GB2312"/>
          <w:sz w:val="24"/>
        </w:rPr>
        <w:t>扰乱会场秩序，经劝阻仍无理取闹者。</w:t>
      </w:r>
    </w:p>
    <w:p>
      <w:pPr>
        <w:spacing w:line="480" w:lineRule="exact"/>
        <w:rPr>
          <w:rFonts w:ascii="楷体_GB2312" w:eastAsia="楷体_GB2312"/>
          <w:sz w:val="24"/>
        </w:rPr>
      </w:pPr>
      <w:r>
        <w:rPr>
          <w:rFonts w:hint="eastAsia" w:ascii="楷体_GB2312" w:eastAsia="楷体_GB2312"/>
          <w:sz w:val="24"/>
        </w:rPr>
        <w:t>6.5开标与评标</w:t>
      </w:r>
    </w:p>
    <w:p>
      <w:pPr>
        <w:spacing w:line="480" w:lineRule="exact"/>
        <w:ind w:left="1"/>
        <w:rPr>
          <w:rFonts w:ascii="楷体_GB2312" w:eastAsia="楷体_GB2312"/>
          <w:b/>
          <w:sz w:val="24"/>
        </w:rPr>
      </w:pPr>
      <w:r>
        <w:rPr>
          <w:rFonts w:hint="eastAsia" w:ascii="楷体_GB2312" w:eastAsia="楷体_GB2312"/>
          <w:sz w:val="24"/>
        </w:rPr>
        <w:t xml:space="preserve">6.5.1 </w:t>
      </w:r>
      <w:r>
        <w:rPr>
          <w:rFonts w:hint="eastAsia" w:ascii="楷体_GB2312" w:eastAsia="楷体_GB2312"/>
          <w:b/>
          <w:sz w:val="24"/>
        </w:rPr>
        <w:t>竞标单位</w:t>
      </w:r>
      <w:r>
        <w:rPr>
          <w:rFonts w:hint="eastAsia" w:ascii="楷体_GB2312" w:eastAsia="楷体_GB2312"/>
          <w:b/>
          <w:sz w:val="24"/>
          <w:lang w:val="en-US" w:eastAsia="zh-CN"/>
        </w:rPr>
        <w:t>拟</w:t>
      </w:r>
      <w:r>
        <w:rPr>
          <w:rFonts w:hint="eastAsia" w:ascii="楷体_GB2312" w:eastAsia="楷体_GB2312"/>
          <w:b/>
          <w:sz w:val="24"/>
        </w:rPr>
        <w:t>于</w:t>
      </w:r>
      <w:r>
        <w:rPr>
          <w:rFonts w:hint="eastAsia" w:ascii="楷体_GB2312" w:eastAsia="楷体_GB2312"/>
          <w:b/>
          <w:sz w:val="24"/>
          <w:highlight w:val="yellow"/>
          <w:lang w:val="en-US" w:eastAsia="zh-CN"/>
        </w:rPr>
        <w:t>2021</w:t>
      </w:r>
      <w:r>
        <w:rPr>
          <w:rFonts w:hint="eastAsia" w:ascii="楷体_GB2312" w:eastAsia="楷体_GB2312"/>
          <w:b/>
          <w:color w:val="auto"/>
          <w:sz w:val="24"/>
          <w:highlight w:val="yellow"/>
        </w:rPr>
        <w:t>年</w:t>
      </w:r>
      <w:r>
        <w:rPr>
          <w:rFonts w:hint="eastAsia" w:ascii="楷体_GB2312" w:eastAsia="楷体_GB2312"/>
          <w:b/>
          <w:color w:val="auto"/>
          <w:sz w:val="24"/>
          <w:highlight w:val="yellow"/>
          <w:u w:val="single"/>
          <w:lang w:val="en-US" w:eastAsia="zh-CN"/>
        </w:rPr>
        <w:t>05</w:t>
      </w:r>
      <w:r>
        <w:rPr>
          <w:rFonts w:hint="eastAsia" w:ascii="楷体_GB2312" w:eastAsia="楷体_GB2312"/>
          <w:b/>
          <w:color w:val="auto"/>
          <w:sz w:val="24"/>
          <w:highlight w:val="yellow"/>
        </w:rPr>
        <w:t>月</w:t>
      </w:r>
      <w:r>
        <w:rPr>
          <w:rFonts w:hint="eastAsia" w:ascii="楷体_GB2312" w:eastAsia="楷体_GB2312"/>
          <w:b/>
          <w:color w:val="auto"/>
          <w:sz w:val="24"/>
          <w:highlight w:val="yellow"/>
          <w:u w:val="single"/>
          <w:lang w:val="en-US" w:eastAsia="zh-CN"/>
        </w:rPr>
        <w:t>14-</w:t>
      </w:r>
      <w:r>
        <w:rPr>
          <w:rFonts w:hint="eastAsia" w:ascii="楷体_GB2312" w:eastAsia="楷体_GB2312"/>
          <w:b/>
          <w:sz w:val="24"/>
          <w:highlight w:val="yellow"/>
          <w:u w:val="single"/>
          <w:lang w:val="en-US" w:eastAsia="zh-CN"/>
        </w:rPr>
        <w:t>15</w:t>
      </w:r>
      <w:r>
        <w:rPr>
          <w:rFonts w:hint="eastAsia" w:ascii="楷体_GB2312" w:eastAsia="楷体_GB2312"/>
          <w:b/>
          <w:sz w:val="24"/>
          <w:highlight w:val="yellow"/>
        </w:rPr>
        <w:t>日</w:t>
      </w:r>
      <w:r>
        <w:rPr>
          <w:rFonts w:hint="eastAsia" w:ascii="楷体_GB2312" w:eastAsia="楷体_GB2312"/>
          <w:b/>
          <w:sz w:val="24"/>
        </w:rPr>
        <w:t>在</w:t>
      </w:r>
      <w:r>
        <w:rPr>
          <w:rFonts w:hint="eastAsia" w:ascii="楷体_GB2312" w:eastAsia="楷体_GB2312"/>
          <w:b/>
          <w:sz w:val="24"/>
          <w:u w:val="single"/>
          <w:lang w:val="en-US" w:eastAsia="zh-CN"/>
        </w:rPr>
        <w:t>广东省广州市增城新塘镇太平洋五路10号广州市帕菲克义齿科技有限公司会议室</w:t>
      </w:r>
      <w:r>
        <w:rPr>
          <w:rFonts w:hint="eastAsia" w:ascii="楷体_GB2312" w:eastAsia="楷体_GB2312"/>
          <w:b/>
          <w:sz w:val="24"/>
        </w:rPr>
        <w:t>开标</w:t>
      </w:r>
      <w:r>
        <w:rPr>
          <w:rFonts w:hint="eastAsia" w:ascii="楷体_GB2312" w:eastAsia="楷体_GB2312"/>
          <w:sz w:val="24"/>
        </w:rPr>
        <w:t>。</w:t>
      </w:r>
      <w:r>
        <w:rPr>
          <w:rFonts w:hint="eastAsia" w:ascii="楷体_GB2312" w:eastAsia="楷体_GB2312"/>
          <w:b/>
          <w:sz w:val="24"/>
          <w:lang w:val="en-US" w:eastAsia="zh-CN"/>
        </w:rPr>
        <w:t>如因受疫情原因造成突发情况，开标时间另行通知</w:t>
      </w:r>
      <w:r>
        <w:rPr>
          <w:rFonts w:hint="eastAsia" w:ascii="楷体_GB2312" w:eastAsia="楷体_GB2312"/>
          <w:b/>
          <w:sz w:val="24"/>
        </w:rPr>
        <w:t>。</w:t>
      </w:r>
    </w:p>
    <w:p>
      <w:pPr>
        <w:spacing w:line="480" w:lineRule="exact"/>
        <w:ind w:left="1"/>
        <w:rPr>
          <w:rFonts w:ascii="楷体_GB2312" w:eastAsia="楷体_GB2312"/>
          <w:sz w:val="24"/>
        </w:rPr>
      </w:pPr>
      <w:r>
        <w:rPr>
          <w:rFonts w:hint="eastAsia" w:ascii="楷体_GB2312" w:eastAsia="楷体_GB2312"/>
          <w:sz w:val="24"/>
        </w:rPr>
        <w:t>6.5.2 为利于评标审查。邀请单位在开标后可随时请竞标单位对竞标书进行澄清解答。</w:t>
      </w:r>
    </w:p>
    <w:p>
      <w:pPr>
        <w:spacing w:line="480" w:lineRule="exact"/>
        <w:rPr>
          <w:rFonts w:ascii="楷体_GB2312" w:eastAsia="楷体_GB2312"/>
          <w:sz w:val="24"/>
        </w:rPr>
      </w:pPr>
      <w:r>
        <w:rPr>
          <w:rFonts w:hint="eastAsia" w:ascii="楷体_GB2312" w:eastAsia="楷体_GB2312"/>
          <w:sz w:val="24"/>
        </w:rPr>
        <w:t>6.5.3评标：本次招标采用综合评分法，由评标委员会对产品的品牌、技术参数、价格、付款方式、交货期、企业信誉、售后服务等方面进行综合评标，每包依最终得分选择1-3名中标单位，并发放中标通知书。</w:t>
      </w:r>
    </w:p>
    <w:p>
      <w:pPr>
        <w:spacing w:line="480" w:lineRule="exact"/>
        <w:rPr>
          <w:rFonts w:ascii="楷体_GB2312" w:eastAsia="楷体_GB2312"/>
          <w:sz w:val="24"/>
        </w:rPr>
      </w:pPr>
      <w:r>
        <w:rPr>
          <w:rFonts w:hint="eastAsia" w:ascii="楷体_GB2312" w:eastAsia="楷体_GB2312"/>
          <w:sz w:val="24"/>
        </w:rPr>
        <w:t>6.6竞标文件澄清</w:t>
      </w:r>
    </w:p>
    <w:p>
      <w:pPr>
        <w:spacing w:line="480" w:lineRule="exact"/>
        <w:rPr>
          <w:rFonts w:ascii="楷体_GB2312" w:eastAsia="楷体_GB2312"/>
          <w:sz w:val="24"/>
        </w:rPr>
      </w:pPr>
      <w:r>
        <w:rPr>
          <w:rFonts w:hint="eastAsia" w:ascii="楷体_GB2312" w:eastAsia="楷体_GB2312"/>
          <w:sz w:val="24"/>
        </w:rPr>
        <w:t>6.6.1邀请单位有权就竞标文件中不明确之处向竞标单位提出询问或澄清要求。竞标单位必须按照竞标方通知的时间、地点派技术和商务人员进行答疑和澄清。</w:t>
      </w:r>
    </w:p>
    <w:p>
      <w:pPr>
        <w:spacing w:line="480" w:lineRule="exact"/>
        <w:rPr>
          <w:rFonts w:ascii="楷体_GB2312" w:eastAsia="楷体_GB2312"/>
          <w:sz w:val="24"/>
        </w:rPr>
      </w:pPr>
      <w:r>
        <w:rPr>
          <w:rFonts w:hint="eastAsia" w:ascii="楷体_GB2312" w:eastAsia="楷体_GB2312"/>
          <w:sz w:val="24"/>
        </w:rPr>
        <w:t>6.6.2必要时邀请单位可要求竞标单位就澄清的问题作书面回答，该书面回答应有竞标全权代表的签章，并将作为竞标文件的一部分。</w:t>
      </w:r>
    </w:p>
    <w:p>
      <w:pPr>
        <w:spacing w:line="480" w:lineRule="exact"/>
        <w:rPr>
          <w:rFonts w:ascii="楷体_GB2312" w:eastAsia="楷体_GB2312"/>
          <w:sz w:val="24"/>
        </w:rPr>
      </w:pPr>
      <w:r>
        <w:rPr>
          <w:rFonts w:hint="eastAsia" w:ascii="楷体_GB2312" w:eastAsia="楷体_GB2312"/>
          <w:sz w:val="24"/>
        </w:rPr>
        <w:t>6.7评标过程的保密</w:t>
      </w:r>
    </w:p>
    <w:p>
      <w:pPr>
        <w:spacing w:line="480" w:lineRule="exact"/>
        <w:rPr>
          <w:rFonts w:ascii="楷体_GB2312" w:eastAsia="楷体_GB2312"/>
          <w:sz w:val="24"/>
        </w:rPr>
      </w:pPr>
      <w:r>
        <w:rPr>
          <w:rFonts w:hint="eastAsia" w:ascii="楷体_GB2312" w:eastAsia="楷体_GB2312"/>
          <w:sz w:val="24"/>
        </w:rPr>
        <w:t>6.7.1开标之后，直到授予中标方合同止，凡属于审查、澄清、评价和比较竞标的有关资料以及授标意向等，均不得向竞标单位或其它无关的人员透露。</w:t>
      </w:r>
    </w:p>
    <w:p>
      <w:pPr>
        <w:tabs>
          <w:tab w:val="left" w:pos="1440"/>
        </w:tabs>
        <w:spacing w:line="480" w:lineRule="exact"/>
        <w:rPr>
          <w:rFonts w:ascii="楷体_GB2312" w:eastAsia="楷体_GB2312"/>
          <w:sz w:val="24"/>
        </w:rPr>
      </w:pPr>
      <w:r>
        <w:rPr>
          <w:rFonts w:hint="eastAsia" w:ascii="楷体_GB2312" w:eastAsia="楷体_GB2312"/>
          <w:sz w:val="24"/>
        </w:rPr>
        <w:t>6.7.2在评标期间，竞标单位企图影响邀请单位的任何活动，将导致竞标被拒绝，并承担法律责任。</w:t>
      </w:r>
    </w:p>
    <w:p>
      <w:pPr>
        <w:tabs>
          <w:tab w:val="left" w:pos="1440"/>
        </w:tabs>
        <w:spacing w:line="480" w:lineRule="exact"/>
        <w:rPr>
          <w:rFonts w:ascii="楷体_GB2312" w:eastAsia="楷体_GB2312"/>
          <w:sz w:val="24"/>
        </w:rPr>
      </w:pPr>
    </w:p>
    <w:p>
      <w:pPr>
        <w:spacing w:line="480" w:lineRule="exact"/>
        <w:jc w:val="center"/>
        <w:rPr>
          <w:rFonts w:ascii="楷体_GB2312" w:eastAsia="楷体_GB2312"/>
          <w:b/>
          <w:sz w:val="28"/>
          <w:szCs w:val="28"/>
        </w:rPr>
      </w:pPr>
      <w:r>
        <w:rPr>
          <w:rFonts w:hint="eastAsia" w:ascii="楷体_GB2312" w:eastAsia="楷体_GB2312"/>
          <w:b/>
          <w:sz w:val="28"/>
          <w:szCs w:val="28"/>
        </w:rPr>
        <w:t>第七章  合同授予</w:t>
      </w:r>
    </w:p>
    <w:p>
      <w:pPr>
        <w:spacing w:line="480" w:lineRule="exact"/>
        <w:rPr>
          <w:rFonts w:ascii="楷体_GB2312" w:eastAsia="楷体_GB2312"/>
          <w:sz w:val="24"/>
        </w:rPr>
      </w:pPr>
    </w:p>
    <w:p>
      <w:pPr>
        <w:spacing w:line="480" w:lineRule="exact"/>
        <w:rPr>
          <w:rFonts w:ascii="楷体_GB2312" w:eastAsia="楷体_GB2312"/>
          <w:sz w:val="24"/>
        </w:rPr>
      </w:pPr>
      <w:r>
        <w:rPr>
          <w:rFonts w:hint="eastAsia" w:ascii="楷体_GB2312" w:eastAsia="楷体_GB2312"/>
          <w:sz w:val="24"/>
        </w:rPr>
        <w:t>7.1合同授予标准</w:t>
      </w:r>
    </w:p>
    <w:p>
      <w:pPr>
        <w:spacing w:line="480" w:lineRule="exact"/>
        <w:rPr>
          <w:rFonts w:ascii="楷体_GB2312" w:eastAsia="楷体_GB2312"/>
          <w:sz w:val="24"/>
        </w:rPr>
      </w:pPr>
      <w:r>
        <w:rPr>
          <w:rFonts w:hint="eastAsia" w:ascii="楷体_GB2312" w:eastAsia="楷体_GB2312"/>
          <w:sz w:val="24"/>
        </w:rPr>
        <w:t>除7.3条规定外，邀请单位应将合同授予被确定为实质上响应竞标文件要求的，能够履行合同义务的最低竞标价的竞标单位。</w:t>
      </w:r>
    </w:p>
    <w:p>
      <w:pPr>
        <w:spacing w:line="480" w:lineRule="exact"/>
        <w:rPr>
          <w:rFonts w:ascii="楷体_GB2312" w:eastAsia="楷体_GB2312"/>
          <w:sz w:val="24"/>
        </w:rPr>
      </w:pPr>
      <w:r>
        <w:rPr>
          <w:rFonts w:hint="eastAsia" w:ascii="楷体_GB2312" w:eastAsia="楷体_GB2312"/>
          <w:sz w:val="24"/>
        </w:rPr>
        <w:t>7.2邀请单位在授标时有变更的权力。（在向竞标单位授予中标通知书时，邀请单位有权变更竞标内容和服务的内容）。</w:t>
      </w:r>
    </w:p>
    <w:p>
      <w:pPr>
        <w:spacing w:line="480" w:lineRule="exact"/>
        <w:rPr>
          <w:rFonts w:ascii="楷体_GB2312" w:eastAsia="楷体_GB2312"/>
          <w:sz w:val="24"/>
        </w:rPr>
      </w:pPr>
      <w:r>
        <w:rPr>
          <w:rFonts w:hint="eastAsia" w:ascii="楷体_GB2312" w:eastAsia="楷体_GB2312"/>
          <w:sz w:val="24"/>
        </w:rPr>
        <w:t>7.3尽管有7.1之规定，邀请单位在授予合同之前仍有选择或拒绝任何竞标单位中标的权力，对受影响的竞标单位不承担任何责任，也无义务向受影响的竞标单位解释采取这一行动的理由。</w:t>
      </w:r>
    </w:p>
    <w:p>
      <w:pPr>
        <w:spacing w:line="480" w:lineRule="exact"/>
        <w:rPr>
          <w:rFonts w:ascii="楷体_GB2312" w:eastAsia="楷体_GB2312"/>
          <w:sz w:val="24"/>
        </w:rPr>
      </w:pPr>
      <w:r>
        <w:rPr>
          <w:rFonts w:hint="eastAsia" w:ascii="楷体_GB2312" w:eastAsia="楷体_GB2312"/>
          <w:sz w:val="24"/>
        </w:rPr>
        <w:t>7.4中标通知</w:t>
      </w:r>
    </w:p>
    <w:p>
      <w:pPr>
        <w:spacing w:line="480" w:lineRule="exact"/>
        <w:rPr>
          <w:rFonts w:ascii="楷体_GB2312" w:eastAsia="楷体_GB2312"/>
          <w:sz w:val="24"/>
        </w:rPr>
      </w:pPr>
      <w:r>
        <w:rPr>
          <w:rFonts w:hint="eastAsia" w:ascii="楷体_GB2312" w:eastAsia="楷体_GB2312"/>
          <w:sz w:val="24"/>
        </w:rPr>
        <w:t>7.4.1在竞标有效期内，邀请单位以书面形式通知所选定的中标方。</w:t>
      </w:r>
    </w:p>
    <w:p>
      <w:pPr>
        <w:spacing w:line="480" w:lineRule="exact"/>
        <w:rPr>
          <w:rFonts w:ascii="楷体_GB2312" w:eastAsia="楷体_GB2312"/>
          <w:sz w:val="24"/>
        </w:rPr>
      </w:pPr>
      <w:r>
        <w:rPr>
          <w:rFonts w:hint="eastAsia" w:ascii="楷体_GB2312" w:eastAsia="楷体_GB2312"/>
          <w:sz w:val="24"/>
        </w:rPr>
        <w:t>7.5 签订合同</w:t>
      </w:r>
    </w:p>
    <w:p>
      <w:pPr>
        <w:pStyle w:val="3"/>
        <w:spacing w:line="480" w:lineRule="exact"/>
        <w:ind w:firstLine="480" w:firstLineChars="200"/>
        <w:rPr>
          <w:rFonts w:ascii="楷体_GB2312" w:eastAsia="楷体_GB2312"/>
          <w:sz w:val="24"/>
        </w:rPr>
      </w:pPr>
      <w:r>
        <w:rPr>
          <w:rFonts w:hint="eastAsia" w:ascii="楷体_GB2312" w:eastAsia="楷体_GB2312"/>
          <w:sz w:val="24"/>
        </w:rPr>
        <w:t>中标单位应按邀标方规定的时间、地点与邀请单位签订书面采购合同，否则按开标后撤回竞标处理。</w:t>
      </w:r>
    </w:p>
    <w:p>
      <w:pPr>
        <w:spacing w:line="480" w:lineRule="exact"/>
        <w:rPr>
          <w:rFonts w:ascii="楷体_GB2312" w:eastAsia="楷体_GB2312"/>
          <w:sz w:val="24"/>
        </w:rPr>
      </w:pPr>
      <w:r>
        <w:rPr>
          <w:rFonts w:hint="eastAsia" w:ascii="楷体_GB2312" w:eastAsia="楷体_GB2312"/>
          <w:sz w:val="24"/>
        </w:rPr>
        <w:t>7.6腐败和欺诈行为</w:t>
      </w:r>
    </w:p>
    <w:p>
      <w:pPr>
        <w:spacing w:line="480" w:lineRule="exact"/>
        <w:rPr>
          <w:rFonts w:ascii="楷体_GB2312" w:eastAsia="楷体_GB2312"/>
          <w:sz w:val="24"/>
        </w:rPr>
      </w:pPr>
      <w:r>
        <w:rPr>
          <w:rFonts w:hint="eastAsia" w:ascii="楷体_GB2312" w:eastAsia="楷体_GB2312"/>
          <w:sz w:val="24"/>
        </w:rPr>
        <w:t>7.6.1定义</w:t>
      </w:r>
    </w:p>
    <w:p>
      <w:pPr>
        <w:spacing w:line="480" w:lineRule="exact"/>
        <w:ind w:firstLine="2"/>
        <w:rPr>
          <w:rFonts w:ascii="楷体_GB2312" w:eastAsia="楷体_GB2312"/>
          <w:sz w:val="24"/>
        </w:rPr>
      </w:pPr>
      <w:r>
        <w:rPr>
          <w:rFonts w:hint="eastAsia" w:ascii="楷体_GB2312" w:eastAsia="楷体_GB2312"/>
          <w:sz w:val="24"/>
        </w:rPr>
        <w:t>（1）“腐败行为”是指提供、给予、接受或索取任何有价值的物品来影响评标委员会在评标过程中的行为，以及影响邀请方在合同实施过程中的行为。</w:t>
      </w:r>
    </w:p>
    <w:p>
      <w:pPr>
        <w:spacing w:line="480" w:lineRule="exact"/>
        <w:rPr>
          <w:rFonts w:ascii="楷体_GB2312" w:eastAsia="楷体_GB2312"/>
          <w:sz w:val="24"/>
        </w:rPr>
      </w:pPr>
      <w:r>
        <w:rPr>
          <w:rFonts w:hint="eastAsia" w:ascii="楷体_GB2312" w:eastAsia="楷体_GB2312"/>
          <w:sz w:val="24"/>
        </w:rPr>
        <w:t>（2）“欺诈行为”是指为了影响评标过程或合同实施过程而谎报事实，损害邀请单位利益包括竞标人之间串通竞标，人为的使竞标丧失竞争性。</w:t>
      </w:r>
    </w:p>
    <w:p>
      <w:pPr>
        <w:spacing w:line="480" w:lineRule="exact"/>
        <w:rPr>
          <w:rFonts w:ascii="楷体_GB2312" w:eastAsia="楷体_GB2312"/>
          <w:sz w:val="24"/>
        </w:rPr>
      </w:pPr>
      <w:r>
        <w:rPr>
          <w:rFonts w:hint="eastAsia" w:ascii="楷体_GB2312" w:eastAsia="楷体_GB2312"/>
          <w:sz w:val="24"/>
        </w:rPr>
        <w:t>7.6.2如果邀请方认为某竞标方在本合同竞争中有腐败或欺诈行为，则将拒绝其竞标。对情节严重者，邀请方将拒绝该竞标方参加竞标方所组织的其它竞标活动。</w:t>
      </w:r>
    </w:p>
    <w:p>
      <w:pPr>
        <w:spacing w:line="480" w:lineRule="exact"/>
        <w:rPr>
          <w:rFonts w:ascii="楷体_GB2312" w:eastAsia="楷体_GB2312"/>
          <w:sz w:val="24"/>
        </w:rPr>
      </w:pPr>
    </w:p>
    <w:p>
      <w:pPr>
        <w:numPr>
          <w:ilvl w:val="0"/>
          <w:numId w:val="3"/>
        </w:numPr>
        <w:spacing w:line="480" w:lineRule="exact"/>
        <w:jc w:val="center"/>
        <w:rPr>
          <w:rFonts w:ascii="楷体_GB2312" w:eastAsia="楷体_GB2312"/>
          <w:b/>
          <w:bCs/>
          <w:sz w:val="28"/>
        </w:rPr>
      </w:pPr>
      <w:r>
        <w:rPr>
          <w:rFonts w:hint="eastAsia" w:ascii="楷体_GB2312" w:eastAsia="楷体_GB2312"/>
          <w:b/>
          <w:bCs/>
          <w:sz w:val="28"/>
        </w:rPr>
        <w:t>设备清册、技术要求</w:t>
      </w:r>
    </w:p>
    <w:p>
      <w:pPr>
        <w:pStyle w:val="6"/>
        <w:spacing w:after="0" w:line="360" w:lineRule="auto"/>
        <w:ind w:left="0" w:leftChars="0"/>
        <w:rPr>
          <w:rFonts w:ascii="楷体_GB2312" w:eastAsia="楷体_GB2312"/>
          <w:b/>
          <w:bCs/>
          <w:sz w:val="28"/>
          <w:szCs w:val="24"/>
        </w:rPr>
      </w:pPr>
    </w:p>
    <w:p>
      <w:pPr>
        <w:pStyle w:val="6"/>
        <w:spacing w:line="360" w:lineRule="auto"/>
        <w:ind w:left="0" w:leftChars="0"/>
        <w:rPr>
          <w:rFonts w:ascii="楷体_GB2312" w:eastAsia="楷体_GB2312"/>
          <w:sz w:val="24"/>
        </w:rPr>
      </w:pPr>
      <w:r>
        <w:rPr>
          <w:rFonts w:hint="eastAsia" w:ascii="楷体_GB2312" w:eastAsia="楷体_GB2312"/>
          <w:sz w:val="24"/>
        </w:rPr>
        <w:t>8.1竞标设备清单及要求：</w:t>
      </w:r>
    </w:p>
    <w:p>
      <w:pPr>
        <w:pStyle w:val="6"/>
        <w:spacing w:line="360" w:lineRule="auto"/>
        <w:ind w:left="0" w:leftChars="0" w:firstLine="480" w:firstLineChars="200"/>
        <w:rPr>
          <w:rFonts w:ascii="楷体_GB2312" w:eastAsia="楷体_GB2312"/>
          <w:sz w:val="24"/>
        </w:rPr>
      </w:pPr>
      <w:r>
        <w:rPr>
          <w:rFonts w:hint="eastAsia" w:ascii="楷体_GB2312" w:eastAsia="楷体_GB2312"/>
          <w:bCs/>
          <w:sz w:val="24"/>
        </w:rPr>
        <w:t>参见1.2竞标内容</w:t>
      </w:r>
    </w:p>
    <w:p>
      <w:pPr>
        <w:pStyle w:val="6"/>
        <w:spacing w:line="360" w:lineRule="auto"/>
        <w:ind w:left="0" w:leftChars="0" w:firstLine="480" w:firstLineChars="200"/>
        <w:rPr>
          <w:rFonts w:ascii="楷体_GB2312" w:eastAsia="楷体_GB2312"/>
          <w:sz w:val="24"/>
          <w:szCs w:val="24"/>
        </w:rPr>
      </w:pPr>
      <w:r>
        <w:rPr>
          <w:rFonts w:hint="eastAsia" w:ascii="楷体_GB2312" w:eastAsia="楷体_GB2312"/>
          <w:sz w:val="24"/>
          <w:szCs w:val="24"/>
        </w:rPr>
        <w:t>以上内容，采购方有权根据实际需要进行更改。</w:t>
      </w:r>
    </w:p>
    <w:p>
      <w:pPr>
        <w:pStyle w:val="6"/>
        <w:spacing w:line="360" w:lineRule="auto"/>
        <w:ind w:left="0" w:leftChars="0"/>
        <w:rPr>
          <w:rFonts w:ascii="楷体_GB2312" w:eastAsia="楷体_GB2312"/>
          <w:sz w:val="24"/>
          <w:szCs w:val="24"/>
        </w:rPr>
      </w:pPr>
      <w:r>
        <w:rPr>
          <w:rFonts w:hint="eastAsia" w:ascii="楷体_GB2312" w:eastAsia="楷体_GB2312"/>
          <w:sz w:val="24"/>
          <w:szCs w:val="24"/>
        </w:rPr>
        <w:t>8.2 邀请单位向竞标单位提供上述有关资料和数据是邀请单位现有的能使竞标单位利用的资料，对于竞标单位由此而做出的推论、理解和结论邀请单位概不负责。</w:t>
      </w:r>
    </w:p>
    <w:p>
      <w:pPr>
        <w:spacing w:line="500" w:lineRule="exact"/>
        <w:rPr>
          <w:rFonts w:ascii="楷体_GB2312" w:eastAsia="楷体_GB2312"/>
          <w:sz w:val="24"/>
        </w:rPr>
      </w:pPr>
      <w:r>
        <w:rPr>
          <w:rFonts w:hint="eastAsia" w:ascii="楷体_GB2312" w:eastAsia="楷体_GB2312"/>
          <w:sz w:val="24"/>
        </w:rPr>
        <w:t>8.3有关售后服务要求：</w:t>
      </w:r>
    </w:p>
    <w:p>
      <w:pPr>
        <w:spacing w:line="500" w:lineRule="exact"/>
        <w:ind w:firstLine="480" w:firstLineChars="200"/>
        <w:rPr>
          <w:rFonts w:ascii="楷体_GB2312" w:eastAsia="楷体_GB2312"/>
          <w:b/>
          <w:bCs/>
          <w:sz w:val="36"/>
          <w:szCs w:val="36"/>
        </w:rPr>
      </w:pPr>
      <w:r>
        <w:rPr>
          <w:rFonts w:hint="eastAsia" w:ascii="楷体_GB2312" w:eastAsia="楷体_GB2312"/>
          <w:bCs/>
          <w:sz w:val="24"/>
        </w:rPr>
        <w:t>参见1.2竞标内容</w:t>
      </w:r>
    </w:p>
    <w:p>
      <w:pPr>
        <w:spacing w:line="480" w:lineRule="exact"/>
        <w:rPr>
          <w:rFonts w:ascii="楷体_GB2312" w:eastAsia="楷体_GB2312"/>
          <w:b/>
          <w:bCs/>
          <w:sz w:val="36"/>
          <w:szCs w:val="36"/>
        </w:rPr>
      </w:pPr>
    </w:p>
    <w:p>
      <w:pPr>
        <w:rPr>
          <w:sz w:val="13"/>
        </w:rPr>
      </w:pPr>
    </w:p>
    <w:sectPr>
      <w:footerReference r:id="rId6" w:type="default"/>
      <w:pgSz w:w="11906" w:h="16838"/>
      <w:pgMar w:top="1440" w:right="1800" w:bottom="1440" w:left="1800" w:header="851" w:footer="992" w:gutter="0"/>
      <w:pgNumType w:fmt="numberInDash" w:start="3"/>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华文楷体">
    <w:altName w:val="宋体"/>
    <w:panose1 w:val="02010600040101010101"/>
    <w:charset w:val="86"/>
    <w:family w:val="auto"/>
    <w:pitch w:val="default"/>
    <w:sig w:usb0="00000000" w:usb1="00000000" w:usb2="00000010" w:usb3="00000000" w:csb0="0004009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wordWrap/>
      <w:jc w:val="center"/>
      <w:rPr>
        <w:sz w:val="18"/>
        <w:szCs w:val="18"/>
      </w:rPr>
    </w:pPr>
    <w:r>
      <w:rPr>
        <w:sz w:val="18"/>
      </w:rPr>
      <mc:AlternateContent>
        <mc:Choice Requires="wps">
          <w:drawing>
            <wp:anchor distT="0" distB="0" distL="114300" distR="114300" simplePos="0" relativeHeight="251659264" behindDoc="0" locked="0" layoutInCell="1" allowOverlap="1">
              <wp:simplePos x="0" y="0"/>
              <wp:positionH relativeFrom="margin">
                <wp:posOffset>2604770</wp:posOffset>
              </wp:positionH>
              <wp:positionV relativeFrom="paragraph">
                <wp:posOffset>190500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205.1pt;margin-top:15pt;height:144pt;width:144pt;mso-position-horizontal-relative:margin;mso-wrap-style:none;z-index:251659264;mso-width-relative:page;mso-height-relative:page;" filled="f" stroked="f" coordsize="21600,21600" o:gfxdata="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HZ47FNUAAAAKAQAADwAAAAAAAAABACAAAAAiAAAAZHJzL2Rvd25yZXYueG1sUEsB&#10;AhQAFAAAAAgAh07iQGuF+fsxAgAAYQQAAA4AAAAAAAAAAQAgAAAAJAEAAGRycy9lMm9Eb2MueG1s&#10;UEsFBgAAAAAGAAYAWQEAAMcFAAAAAA==&#10;">
              <v:fill on="f" focussize="0,0"/>
              <v:stroke on="f" weight="0.5pt"/>
              <v:imagedata o:title=""/>
              <o:lock v:ext="edit" aspectratio="f"/>
              <v:textbox inset="0mm,0mm,0mm,0mm" style="mso-fit-shape-to-text:t;">
                <w:txbxContent>
                  <w:p>
                    <w:pPr>
                      <w:pStyle w:val="4"/>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r>
      <w:rPr>
        <w:rFonts w:hint="eastAsia"/>
        <w:sz w:val="18"/>
        <w:szCs w:val="18"/>
        <w:lang w:val="en-US" w:eastAsia="zh-CN"/>
      </w:rPr>
      <w:t>深圳市宝安区西乡街道凤凰社区水库路111星宏科技园五金大楼5层</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wordWrap/>
      <w:ind w:firstLine="180" w:firstLineChars="100"/>
      <w:jc w:val="center"/>
      <w:rPr>
        <w:sz w:val="18"/>
        <w:szCs w:val="18"/>
      </w:rPr>
    </w:pPr>
    <w:r>
      <w:rPr>
        <w:sz w:val="18"/>
      </w:rPr>
      <mc:AlternateContent>
        <mc:Choice Requires="wps">
          <w:drawing>
            <wp:anchor distT="0" distB="0" distL="114300" distR="114300" simplePos="0" relativeHeight="251660288" behindDoc="0" locked="0" layoutInCell="1" allowOverlap="1">
              <wp:simplePos x="0" y="0"/>
              <wp:positionH relativeFrom="margin">
                <wp:posOffset>2604770</wp:posOffset>
              </wp:positionH>
              <wp:positionV relativeFrom="paragraph">
                <wp:posOffset>180975</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205.1pt;margin-top:14.25pt;height:144pt;width:144pt;mso-position-horizontal-relative:margin;mso-wrap-style:none;z-index:251660288;mso-width-relative:page;mso-height-relative:page;" filled="f" stroked="f" coordsize="21600,21600" o:gfxdata="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X+gCJNgAAAAKAQAADwAAAAAAAAABACAAAAAiAAAAZHJzL2Rvd25yZXYueG1s&#10;UEsBAhQAFAAAAAgAh07iQCSCRrQxAgAAYQQAAA4AAAAAAAAAAQAgAAAAJwEAAGRycy9lMm9Eb2Mu&#10;eG1sUEsFBgAAAAAGAAYAWQEAAMoFAAAAAA==&#10;">
              <v:fill on="f" focussize="0,0"/>
              <v:stroke on="f" weight="0.5pt"/>
              <v:imagedata o:title=""/>
              <o:lock v:ext="edit" aspectratio="f"/>
              <v:textbox inset="0mm,0mm,0mm,0mm" style="mso-fit-shape-to-text:t;">
                <w:txbxContent>
                  <w:p>
                    <w:pPr>
                      <w:pStyle w:val="4"/>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r>
      <w:rPr>
        <w:rFonts w:hint="eastAsia"/>
        <w:sz w:val="18"/>
        <w:szCs w:val="18"/>
        <w:lang w:val="en-US" w:eastAsia="zh-CN"/>
      </w:rPr>
      <w:t>深圳市宝安区西乡街道凤凰社区水库路111星宏科技园五金大楼5层</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7C068D"/>
    <w:multiLevelType w:val="multilevel"/>
    <w:tmpl w:val="027C068D"/>
    <w:lvl w:ilvl="0" w:tentative="0">
      <w:start w:val="8"/>
      <w:numFmt w:val="japaneseCounting"/>
      <w:lvlText w:val="第%1章、"/>
      <w:lvlJc w:val="left"/>
      <w:pPr>
        <w:tabs>
          <w:tab w:val="left" w:pos="1140"/>
        </w:tabs>
        <w:ind w:left="1140" w:hanging="1140"/>
      </w:pPr>
      <w:rPr>
        <w:rFonts w:hint="default"/>
      </w:rPr>
    </w:lvl>
    <w:lvl w:ilvl="1" w:tentative="0">
      <w:start w:val="3"/>
      <w:numFmt w:val="decimal"/>
      <w:lvlText w:val="%2、"/>
      <w:lvlJc w:val="left"/>
      <w:pPr>
        <w:tabs>
          <w:tab w:val="left" w:pos="780"/>
        </w:tabs>
        <w:ind w:left="780" w:hanging="360"/>
      </w:pPr>
      <w:rPr>
        <w:rFonts w:hint="default"/>
        <w:color w:val="auto"/>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1EBC3C4A"/>
    <w:multiLevelType w:val="multilevel"/>
    <w:tmpl w:val="1EBC3C4A"/>
    <w:lvl w:ilvl="0" w:tentative="0">
      <w:start w:val="1"/>
      <w:numFmt w:val="decimal"/>
      <w:lvlText w:val="（%1）"/>
      <w:lvlJc w:val="left"/>
      <w:pPr>
        <w:tabs>
          <w:tab w:val="left" w:pos="1290"/>
        </w:tabs>
        <w:ind w:left="1290" w:hanging="720"/>
      </w:pPr>
      <w:rPr>
        <w:rFonts w:hint="eastAsia"/>
      </w:rPr>
    </w:lvl>
    <w:lvl w:ilvl="1" w:tentative="0">
      <w:start w:val="1"/>
      <w:numFmt w:val="lowerLetter"/>
      <w:lvlText w:val="%2)"/>
      <w:lvlJc w:val="left"/>
      <w:pPr>
        <w:tabs>
          <w:tab w:val="left" w:pos="1125"/>
        </w:tabs>
        <w:ind w:left="1125" w:hanging="420"/>
      </w:pPr>
    </w:lvl>
    <w:lvl w:ilvl="2" w:tentative="0">
      <w:start w:val="1"/>
      <w:numFmt w:val="lowerRoman"/>
      <w:lvlText w:val="%3."/>
      <w:lvlJc w:val="right"/>
      <w:pPr>
        <w:tabs>
          <w:tab w:val="left" w:pos="1545"/>
        </w:tabs>
        <w:ind w:left="1545" w:hanging="420"/>
      </w:pPr>
    </w:lvl>
    <w:lvl w:ilvl="3" w:tentative="0">
      <w:start w:val="1"/>
      <w:numFmt w:val="decimal"/>
      <w:lvlText w:val="%4."/>
      <w:lvlJc w:val="left"/>
      <w:pPr>
        <w:tabs>
          <w:tab w:val="left" w:pos="1965"/>
        </w:tabs>
        <w:ind w:left="1965" w:hanging="420"/>
      </w:pPr>
    </w:lvl>
    <w:lvl w:ilvl="4" w:tentative="0">
      <w:start w:val="1"/>
      <w:numFmt w:val="lowerLetter"/>
      <w:lvlText w:val="%5)"/>
      <w:lvlJc w:val="left"/>
      <w:pPr>
        <w:tabs>
          <w:tab w:val="left" w:pos="2385"/>
        </w:tabs>
        <w:ind w:left="2385" w:hanging="420"/>
      </w:pPr>
    </w:lvl>
    <w:lvl w:ilvl="5" w:tentative="0">
      <w:start w:val="1"/>
      <w:numFmt w:val="lowerRoman"/>
      <w:lvlText w:val="%6."/>
      <w:lvlJc w:val="right"/>
      <w:pPr>
        <w:tabs>
          <w:tab w:val="left" w:pos="2805"/>
        </w:tabs>
        <w:ind w:left="2805" w:hanging="420"/>
      </w:pPr>
    </w:lvl>
    <w:lvl w:ilvl="6" w:tentative="0">
      <w:start w:val="1"/>
      <w:numFmt w:val="decimal"/>
      <w:lvlText w:val="%7."/>
      <w:lvlJc w:val="left"/>
      <w:pPr>
        <w:tabs>
          <w:tab w:val="left" w:pos="3225"/>
        </w:tabs>
        <w:ind w:left="3225" w:hanging="420"/>
      </w:pPr>
    </w:lvl>
    <w:lvl w:ilvl="7" w:tentative="0">
      <w:start w:val="1"/>
      <w:numFmt w:val="lowerLetter"/>
      <w:lvlText w:val="%8)"/>
      <w:lvlJc w:val="left"/>
      <w:pPr>
        <w:tabs>
          <w:tab w:val="left" w:pos="3645"/>
        </w:tabs>
        <w:ind w:left="3645" w:hanging="420"/>
      </w:pPr>
    </w:lvl>
    <w:lvl w:ilvl="8" w:tentative="0">
      <w:start w:val="1"/>
      <w:numFmt w:val="lowerRoman"/>
      <w:lvlText w:val="%9."/>
      <w:lvlJc w:val="right"/>
      <w:pPr>
        <w:tabs>
          <w:tab w:val="left" w:pos="4065"/>
        </w:tabs>
        <w:ind w:left="4065" w:hanging="420"/>
      </w:pPr>
    </w:lvl>
  </w:abstractNum>
  <w:abstractNum w:abstractNumId="2">
    <w:nsid w:val="6AC55B69"/>
    <w:multiLevelType w:val="multilevel"/>
    <w:tmpl w:val="6AC55B69"/>
    <w:lvl w:ilvl="0" w:tentative="0">
      <w:start w:val="1"/>
      <w:numFmt w:val="japaneseCounting"/>
      <w:lvlText w:val="第%1章"/>
      <w:lvlJc w:val="left"/>
      <w:pPr>
        <w:tabs>
          <w:tab w:val="left" w:pos="1080"/>
        </w:tabs>
        <w:ind w:left="1080" w:hanging="108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49AD"/>
    <w:rsid w:val="0000354B"/>
    <w:rsid w:val="000338B1"/>
    <w:rsid w:val="00066A55"/>
    <w:rsid w:val="000E3725"/>
    <w:rsid w:val="00125435"/>
    <w:rsid w:val="00134AE1"/>
    <w:rsid w:val="00153C62"/>
    <w:rsid w:val="00173347"/>
    <w:rsid w:val="001B1EF4"/>
    <w:rsid w:val="001B5922"/>
    <w:rsid w:val="001E50C8"/>
    <w:rsid w:val="001E72AF"/>
    <w:rsid w:val="001F73E6"/>
    <w:rsid w:val="00251CE0"/>
    <w:rsid w:val="00260C7B"/>
    <w:rsid w:val="00261387"/>
    <w:rsid w:val="00261F2A"/>
    <w:rsid w:val="002A462B"/>
    <w:rsid w:val="002C5B8D"/>
    <w:rsid w:val="002D5528"/>
    <w:rsid w:val="002D71C2"/>
    <w:rsid w:val="0031744C"/>
    <w:rsid w:val="0032455D"/>
    <w:rsid w:val="00327FBF"/>
    <w:rsid w:val="003446D4"/>
    <w:rsid w:val="00350C4D"/>
    <w:rsid w:val="003815ED"/>
    <w:rsid w:val="003A678A"/>
    <w:rsid w:val="003C4D37"/>
    <w:rsid w:val="004030F5"/>
    <w:rsid w:val="00414551"/>
    <w:rsid w:val="00437444"/>
    <w:rsid w:val="00466D23"/>
    <w:rsid w:val="00495A88"/>
    <w:rsid w:val="004C0400"/>
    <w:rsid w:val="004C6155"/>
    <w:rsid w:val="004E68E1"/>
    <w:rsid w:val="005A488C"/>
    <w:rsid w:val="005B73E6"/>
    <w:rsid w:val="005E5D7D"/>
    <w:rsid w:val="005F7E0C"/>
    <w:rsid w:val="00603702"/>
    <w:rsid w:val="00633DCB"/>
    <w:rsid w:val="00657754"/>
    <w:rsid w:val="00675553"/>
    <w:rsid w:val="0069475F"/>
    <w:rsid w:val="006C5B1E"/>
    <w:rsid w:val="00747344"/>
    <w:rsid w:val="00784AE5"/>
    <w:rsid w:val="007E6D0A"/>
    <w:rsid w:val="00843078"/>
    <w:rsid w:val="00862A3B"/>
    <w:rsid w:val="0086771B"/>
    <w:rsid w:val="00873DC9"/>
    <w:rsid w:val="00887BA5"/>
    <w:rsid w:val="008B071B"/>
    <w:rsid w:val="008B7CB9"/>
    <w:rsid w:val="008E6C73"/>
    <w:rsid w:val="009277A1"/>
    <w:rsid w:val="00930BDF"/>
    <w:rsid w:val="0096626B"/>
    <w:rsid w:val="00970A3E"/>
    <w:rsid w:val="00983D68"/>
    <w:rsid w:val="009D510C"/>
    <w:rsid w:val="00A2045D"/>
    <w:rsid w:val="00A732FA"/>
    <w:rsid w:val="00AA5271"/>
    <w:rsid w:val="00AB4F7B"/>
    <w:rsid w:val="00B0757A"/>
    <w:rsid w:val="00B1187E"/>
    <w:rsid w:val="00B222B6"/>
    <w:rsid w:val="00B937D1"/>
    <w:rsid w:val="00BC4A8E"/>
    <w:rsid w:val="00BC6565"/>
    <w:rsid w:val="00BD4BF6"/>
    <w:rsid w:val="00BE14B7"/>
    <w:rsid w:val="00C16C06"/>
    <w:rsid w:val="00C2234F"/>
    <w:rsid w:val="00C25730"/>
    <w:rsid w:val="00CB642E"/>
    <w:rsid w:val="00CD3B94"/>
    <w:rsid w:val="00CF0BC3"/>
    <w:rsid w:val="00D40FF8"/>
    <w:rsid w:val="00D949AD"/>
    <w:rsid w:val="00DD1D1D"/>
    <w:rsid w:val="00E2151B"/>
    <w:rsid w:val="00E227EA"/>
    <w:rsid w:val="00E24B62"/>
    <w:rsid w:val="00E5616E"/>
    <w:rsid w:val="00E77341"/>
    <w:rsid w:val="00E92F5E"/>
    <w:rsid w:val="00ED7B60"/>
    <w:rsid w:val="00EF2174"/>
    <w:rsid w:val="00F03D0A"/>
    <w:rsid w:val="00F3374C"/>
    <w:rsid w:val="00F512AC"/>
    <w:rsid w:val="00F70BAD"/>
    <w:rsid w:val="00F9437B"/>
    <w:rsid w:val="00FB52FE"/>
    <w:rsid w:val="00FB772D"/>
    <w:rsid w:val="014215A1"/>
    <w:rsid w:val="031F66E4"/>
    <w:rsid w:val="05FD0645"/>
    <w:rsid w:val="0C2D14F7"/>
    <w:rsid w:val="126A729B"/>
    <w:rsid w:val="12BE5770"/>
    <w:rsid w:val="1A454D9D"/>
    <w:rsid w:val="1ABA64BE"/>
    <w:rsid w:val="211F4F56"/>
    <w:rsid w:val="36032829"/>
    <w:rsid w:val="3A8F4C15"/>
    <w:rsid w:val="3AAA1B0A"/>
    <w:rsid w:val="411E6ABF"/>
    <w:rsid w:val="46016CCC"/>
    <w:rsid w:val="594078DD"/>
    <w:rsid w:val="5A183A87"/>
    <w:rsid w:val="5CD85602"/>
    <w:rsid w:val="6532107E"/>
    <w:rsid w:val="660F1499"/>
    <w:rsid w:val="6C6A1087"/>
    <w:rsid w:val="741C2892"/>
    <w:rsid w:val="76FB53E9"/>
    <w:rsid w:val="7ACA210C"/>
    <w:rsid w:val="7ACA25CF"/>
    <w:rsid w:val="7C0633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qFormat="1" w:unhideWhenUsed="0" w:uiPriority="0" w:semiHidden="0"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6"/>
    <w:semiHidden/>
    <w:unhideWhenUsed/>
    <w:qFormat/>
    <w:uiPriority w:val="99"/>
    <w:pPr>
      <w:spacing w:after="120"/>
    </w:pPr>
  </w:style>
  <w:style w:type="paragraph" w:styleId="3">
    <w:name w:val="Body Text Indent"/>
    <w:basedOn w:val="1"/>
    <w:link w:val="14"/>
    <w:qFormat/>
    <w:uiPriority w:val="0"/>
    <w:pPr>
      <w:ind w:firstLine="614" w:firstLineChars="192"/>
      <w:jc w:val="left"/>
    </w:pPr>
    <w:rPr>
      <w:rFonts w:ascii="黑体" w:hAnsi="宋体" w:eastAsia="宋体" w:cs="Times New Roman"/>
      <w:sz w:val="32"/>
      <w:szCs w:val="24"/>
    </w:rPr>
  </w:style>
  <w:style w:type="paragraph" w:styleId="4">
    <w:name w:val="footer"/>
    <w:basedOn w:val="1"/>
    <w:link w:val="13"/>
    <w:unhideWhenUsed/>
    <w:qFormat/>
    <w:uiPriority w:val="99"/>
    <w:pPr>
      <w:tabs>
        <w:tab w:val="center" w:pos="4153"/>
        <w:tab w:val="right" w:pos="8306"/>
      </w:tabs>
      <w:snapToGrid w:val="0"/>
      <w:jc w:val="left"/>
    </w:pPr>
    <w:rPr>
      <w:sz w:val="18"/>
      <w:szCs w:val="18"/>
    </w:rPr>
  </w:style>
  <w:style w:type="paragraph" w:styleId="5">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Body Text Indent 3"/>
    <w:basedOn w:val="1"/>
    <w:link w:val="15"/>
    <w:qFormat/>
    <w:uiPriority w:val="0"/>
    <w:pPr>
      <w:spacing w:after="120"/>
      <w:ind w:left="420" w:leftChars="200"/>
    </w:pPr>
    <w:rPr>
      <w:rFonts w:ascii="Times New Roman" w:hAnsi="Times New Roman" w:eastAsia="宋体" w:cs="Times New Roman"/>
      <w:sz w:val="16"/>
      <w:szCs w:val="16"/>
    </w:rPr>
  </w:style>
  <w:style w:type="paragraph" w:styleId="7">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8">
    <w:name w:val="Body Text First Indent"/>
    <w:basedOn w:val="2"/>
    <w:link w:val="17"/>
    <w:semiHidden/>
    <w:unhideWhenUsed/>
    <w:qFormat/>
    <w:uiPriority w:val="99"/>
    <w:pPr>
      <w:ind w:firstLine="420" w:firstLineChars="100"/>
    </w:pPr>
  </w:style>
  <w:style w:type="character" w:styleId="11">
    <w:name w:val="Hyperlink"/>
    <w:basedOn w:val="10"/>
    <w:unhideWhenUsed/>
    <w:qFormat/>
    <w:uiPriority w:val="99"/>
    <w:rPr>
      <w:color w:val="0563C1" w:themeColor="hyperlink"/>
      <w:u w:val="single"/>
      <w14:textFill>
        <w14:solidFill>
          <w14:schemeClr w14:val="hlink"/>
        </w14:solidFill>
      </w14:textFill>
    </w:rPr>
  </w:style>
  <w:style w:type="character" w:customStyle="1" w:styleId="12">
    <w:name w:val="页眉 Char"/>
    <w:basedOn w:val="10"/>
    <w:link w:val="5"/>
    <w:qFormat/>
    <w:uiPriority w:val="99"/>
    <w:rPr>
      <w:sz w:val="18"/>
      <w:szCs w:val="18"/>
    </w:rPr>
  </w:style>
  <w:style w:type="character" w:customStyle="1" w:styleId="13">
    <w:name w:val="页脚 Char"/>
    <w:basedOn w:val="10"/>
    <w:link w:val="4"/>
    <w:qFormat/>
    <w:uiPriority w:val="99"/>
    <w:rPr>
      <w:sz w:val="18"/>
      <w:szCs w:val="18"/>
    </w:rPr>
  </w:style>
  <w:style w:type="character" w:customStyle="1" w:styleId="14">
    <w:name w:val="正文文本缩进 Char"/>
    <w:basedOn w:val="10"/>
    <w:link w:val="3"/>
    <w:uiPriority w:val="0"/>
    <w:rPr>
      <w:rFonts w:ascii="黑体" w:hAnsi="宋体" w:eastAsia="宋体" w:cs="Times New Roman"/>
      <w:sz w:val="32"/>
      <w:szCs w:val="24"/>
    </w:rPr>
  </w:style>
  <w:style w:type="character" w:customStyle="1" w:styleId="15">
    <w:name w:val="正文文本缩进 3 Char"/>
    <w:basedOn w:val="10"/>
    <w:link w:val="6"/>
    <w:qFormat/>
    <w:uiPriority w:val="0"/>
    <w:rPr>
      <w:rFonts w:ascii="Times New Roman" w:hAnsi="Times New Roman" w:eastAsia="宋体" w:cs="Times New Roman"/>
      <w:sz w:val="16"/>
      <w:szCs w:val="16"/>
    </w:rPr>
  </w:style>
  <w:style w:type="character" w:customStyle="1" w:styleId="16">
    <w:name w:val="正文文本 Char"/>
    <w:basedOn w:val="10"/>
    <w:link w:val="2"/>
    <w:semiHidden/>
    <w:uiPriority w:val="99"/>
  </w:style>
  <w:style w:type="character" w:customStyle="1" w:styleId="17">
    <w:name w:val="正文首行缩进 Char"/>
    <w:basedOn w:val="16"/>
    <w:link w:val="8"/>
    <w:semiHidden/>
    <w:qFormat/>
    <w:uiPriority w:val="99"/>
  </w:style>
  <w:style w:type="paragraph" w:styleId="18">
    <w:name w:val="List Paragraph"/>
    <w:basedOn w:val="1"/>
    <w:qFormat/>
    <w:uiPriority w:val="34"/>
    <w:pPr>
      <w:ind w:firstLine="420" w:firstLineChars="200"/>
    </w:pPr>
    <w:rPr>
      <w:rFonts w:ascii="Calibri" w:hAnsi="Calibri" w:eastAsia="宋体" w:cs="Times New Roman"/>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9</Pages>
  <Words>4479</Words>
  <Characters>4821</Characters>
  <Lines>37</Lines>
  <Paragraphs>10</Paragraphs>
  <TotalTime>40</TotalTime>
  <ScaleCrop>false</ScaleCrop>
  <LinksUpToDate>false</LinksUpToDate>
  <CharactersWithSpaces>5009</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2017-10-26T02:15:00Z</dcterms:created>
  <dc:creator>一切与牙无关，一切与人有关</dc:creator>
  <cp:lastModifiedBy>yuanyi</cp:lastModifiedBy>
  <dcterms:modified xsi:type="dcterms:W3CDTF">2021-04-28T07:27:12Z</dcterms:modified>
  <cp:revision>308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7A0877B939104BC7B0465E5E992DCF07</vt:lpwstr>
  </property>
</Properties>
</file>